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ED" w:rsidRPr="005F44BA" w:rsidRDefault="006551ED" w:rsidP="006551ED">
      <w:pPr>
        <w:shd w:val="clear" w:color="auto" w:fill="FFFFFF"/>
        <w:rPr>
          <w:rFonts w:ascii="Times New Roman" w:eastAsia="Times New Roman" w:hAnsi="Times New Roman" w:cs="Times New Roman"/>
          <w:sz w:val="26"/>
          <w:szCs w:val="26"/>
        </w:rPr>
      </w:pPr>
      <w:r w:rsidRPr="005F44BA">
        <w:rPr>
          <w:rFonts w:ascii="Times New Roman" w:eastAsia="Times New Roman" w:hAnsi="Times New Roman" w:cs="Times New Roman"/>
          <w:sz w:val="26"/>
          <w:szCs w:val="26"/>
        </w:rPr>
        <w:t>Madonna Journal of Medicine and Health Sciences</w:t>
      </w:r>
    </w:p>
    <w:p w:rsidR="006551ED" w:rsidRPr="005F44BA" w:rsidRDefault="006551ED" w:rsidP="006551ED">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Volume 2 issue 1 (2022), Pp. </w:t>
      </w:r>
      <w:r w:rsidRPr="005F44BA">
        <w:rPr>
          <w:rFonts w:ascii="Times New Roman" w:eastAsia="Times New Roman" w:hAnsi="Times New Roman" w:cs="Times New Roman"/>
          <w:sz w:val="26"/>
          <w:szCs w:val="26"/>
        </w:rPr>
        <w:t>9</w:t>
      </w:r>
      <w:r>
        <w:rPr>
          <w:rFonts w:ascii="Times New Roman" w:eastAsia="Times New Roman" w:hAnsi="Times New Roman" w:cs="Times New Roman"/>
          <w:sz w:val="26"/>
          <w:szCs w:val="26"/>
        </w:rPr>
        <w:t>8</w:t>
      </w:r>
      <w:r w:rsidRPr="005F44BA">
        <w:rPr>
          <w:rFonts w:ascii="Times New Roman" w:eastAsia="Times New Roman" w:hAnsi="Times New Roman" w:cs="Times New Roman"/>
          <w:sz w:val="26"/>
          <w:szCs w:val="26"/>
        </w:rPr>
        <w:t xml:space="preserve"> - </w:t>
      </w:r>
      <w:r w:rsidR="004F74C6">
        <w:rPr>
          <w:rFonts w:ascii="Times New Roman" w:eastAsia="Times New Roman" w:hAnsi="Times New Roman" w:cs="Times New Roman"/>
          <w:sz w:val="26"/>
          <w:szCs w:val="26"/>
        </w:rPr>
        <w:t>107</w:t>
      </w:r>
    </w:p>
    <w:p w:rsidR="006551ED" w:rsidRPr="005F44BA" w:rsidRDefault="006551ED" w:rsidP="006551ED">
      <w:pPr>
        <w:shd w:val="clear" w:color="auto" w:fill="FFFFFF"/>
        <w:rPr>
          <w:rFonts w:ascii="Times New Roman" w:eastAsia="Times New Roman" w:hAnsi="Times New Roman" w:cs="Times New Roman"/>
          <w:sz w:val="26"/>
          <w:szCs w:val="26"/>
        </w:rPr>
      </w:pPr>
      <w:r w:rsidRPr="005F44BA">
        <w:rPr>
          <w:rFonts w:ascii="Times New Roman" w:eastAsia="Times New Roman" w:hAnsi="Times New Roman" w:cs="Times New Roman"/>
          <w:sz w:val="26"/>
          <w:szCs w:val="26"/>
        </w:rPr>
        <w:t>© Madonna University Press, Inc. 2022</w:t>
      </w:r>
    </w:p>
    <w:p w:rsidR="006551ED" w:rsidRPr="006551ED" w:rsidRDefault="006551ED" w:rsidP="006551ED">
      <w:pPr>
        <w:shd w:val="clear" w:color="auto" w:fill="FFFFFF"/>
        <w:rPr>
          <w:rFonts w:ascii="Times New Roman" w:eastAsia="Times New Roman" w:hAnsi="Times New Roman" w:cs="Times New Roman"/>
          <w:sz w:val="26"/>
          <w:szCs w:val="26"/>
        </w:rPr>
      </w:pPr>
      <w:hyperlink r:id="rId8" w:history="1">
        <w:r w:rsidRPr="005F44BA">
          <w:rPr>
            <w:rStyle w:val="Hyperlink"/>
            <w:rFonts w:ascii="Times New Roman" w:hAnsi="Times New Roman" w:cs="Times New Roman"/>
            <w:sz w:val="26"/>
            <w:szCs w:val="26"/>
          </w:rPr>
          <w:t>http://madonnauniversity.edu.ng/journals/index.php/medicine</w:t>
        </w:r>
      </w:hyperlink>
      <w:r w:rsidR="00806B4C">
        <w:rPr>
          <w:noProof/>
          <w:lang w:eastAsia="en-US"/>
        </w:rPr>
        <mc:AlternateContent>
          <mc:Choice Requires="wps">
            <w:drawing>
              <wp:anchor distT="4294967291" distB="4294967291" distL="114300" distR="114300" simplePos="0" relativeHeight="251659264" behindDoc="0" locked="0" layoutInCell="1" allowOverlap="1">
                <wp:simplePos x="0" y="0"/>
                <wp:positionH relativeFrom="column">
                  <wp:posOffset>-714375</wp:posOffset>
                </wp:positionH>
                <wp:positionV relativeFrom="paragraph">
                  <wp:posOffset>288289</wp:posOffset>
                </wp:positionV>
                <wp:extent cx="7235825" cy="0"/>
                <wp:effectExtent l="0" t="0" r="317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5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F2F50" id="_x0000_t32" coordsize="21600,21600" o:spt="32" o:oned="t" path="m,l21600,21600e" filled="f">
                <v:path arrowok="t" fillok="f" o:connecttype="none"/>
                <o:lock v:ext="edit" shapetype="t"/>
              </v:shapetype>
              <v:shape id="AutoShape 2" o:spid="_x0000_s1026" type="#_x0000_t32" style="position:absolute;margin-left:-56.25pt;margin-top:22.7pt;width:569.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sX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" strokeweight="1.5pt"/>
            </w:pict>
          </mc:Fallback>
        </mc:AlternateContent>
      </w:r>
    </w:p>
    <w:p w:rsidR="00122421" w:rsidRPr="00FF17C0" w:rsidRDefault="00122421" w:rsidP="0027200E">
      <w:pPr>
        <w:pStyle w:val="Style"/>
        <w:spacing w:before="300" w:after="300"/>
        <w:jc w:val="center"/>
        <w:textAlignment w:val="baseline"/>
        <w:rPr>
          <w:b/>
          <w:iCs/>
          <w:lang w:val="en-GB"/>
        </w:rPr>
      </w:pPr>
      <w:bookmarkStart w:id="0" w:name="_GoBack"/>
      <w:r w:rsidRPr="00FF17C0">
        <w:rPr>
          <w:b/>
          <w:iCs/>
          <w:lang w:val="en-GB"/>
        </w:rPr>
        <w:t>EVALUATION OF ACUTE PHASE PROTEINS (ALPHA-FETOPROTEIN, ERYTHROCYTE, SEDIMENTATION RATE AND LEUCOCYTES COUNTS IN VIRAL HEPATITIS PATIENTS IN ABA</w:t>
      </w:r>
    </w:p>
    <w:bookmarkEnd w:id="0"/>
    <w:p w:rsidR="00122421" w:rsidRPr="00FF17C0" w:rsidRDefault="00122421" w:rsidP="00122421">
      <w:pPr>
        <w:pStyle w:val="Style"/>
        <w:spacing w:before="300" w:after="300"/>
        <w:jc w:val="both"/>
        <w:textAlignment w:val="baseline"/>
        <w:rPr>
          <w:iCs/>
          <w:vertAlign w:val="superscript"/>
          <w:lang w:val="en-GB"/>
        </w:rPr>
      </w:pPr>
      <w:r w:rsidRPr="00FF17C0">
        <w:rPr>
          <w:iCs/>
          <w:lang w:val="en-GB"/>
        </w:rPr>
        <w:t>Ijeoma Leticia Okoroiwu</w:t>
      </w:r>
      <w:r w:rsidRPr="00FF17C0">
        <w:rPr>
          <w:iCs/>
          <w:vertAlign w:val="superscript"/>
          <w:lang w:val="en-GB"/>
        </w:rPr>
        <w:t>1</w:t>
      </w:r>
      <w:r w:rsidRPr="00FF17C0">
        <w:rPr>
          <w:iCs/>
          <w:lang w:val="en-GB"/>
        </w:rPr>
        <w:t xml:space="preserve">, </w:t>
      </w:r>
      <w:r w:rsidRPr="00FF17C0">
        <w:rPr>
          <w:iCs/>
          <w:vertAlign w:val="superscript"/>
          <w:lang w:val="en-GB"/>
        </w:rPr>
        <w:t>*</w:t>
      </w:r>
      <w:r w:rsidRPr="00FF17C0">
        <w:rPr>
          <w:iCs/>
          <w:lang w:val="en-GB"/>
        </w:rPr>
        <w:t>Emmanuel Ifeanyi Obeagu</w:t>
      </w:r>
      <w:r w:rsidRPr="00FF17C0">
        <w:rPr>
          <w:iCs/>
          <w:vertAlign w:val="superscript"/>
          <w:lang w:val="en-GB"/>
        </w:rPr>
        <w:t>1,2</w:t>
      </w:r>
      <w:r w:rsidRPr="00FF17C0">
        <w:rPr>
          <w:iCs/>
          <w:lang w:val="en-GB"/>
        </w:rPr>
        <w:t xml:space="preserve"> </w:t>
      </w:r>
      <w:r w:rsidRPr="00FF17C0">
        <w:rPr>
          <w:sz w:val="28"/>
          <w:szCs w:val="28"/>
          <w:lang w:val="en-GB"/>
        </w:rPr>
        <w:t>0000-0002-4538-0161</w:t>
      </w:r>
      <w:r w:rsidRPr="00FF17C0">
        <w:rPr>
          <w:iCs/>
          <w:lang w:val="en-GB"/>
        </w:rPr>
        <w:t>and Chile Igbikwe</w:t>
      </w:r>
      <w:r w:rsidRPr="00FF17C0">
        <w:rPr>
          <w:iCs/>
          <w:vertAlign w:val="superscript"/>
          <w:lang w:val="en-GB"/>
        </w:rPr>
        <w:t>1</w:t>
      </w:r>
    </w:p>
    <w:p w:rsidR="00122421" w:rsidRPr="00FF17C0" w:rsidRDefault="002F0640" w:rsidP="0027200E">
      <w:pPr>
        <w:pStyle w:val="Style"/>
        <w:spacing w:before="300"/>
        <w:jc w:val="center"/>
        <w:textAlignment w:val="baseline"/>
        <w:rPr>
          <w:i/>
          <w:iCs/>
          <w:lang w:val="en-GB"/>
        </w:rPr>
      </w:pPr>
      <w:r w:rsidRPr="00FF17C0">
        <w:rPr>
          <w:i/>
          <w:iCs/>
          <w:vertAlign w:val="superscript"/>
          <w:lang w:val="en-GB"/>
        </w:rPr>
        <w:t>1</w:t>
      </w:r>
      <w:r w:rsidR="00122421" w:rsidRPr="00FF17C0">
        <w:rPr>
          <w:i/>
          <w:iCs/>
          <w:lang w:val="en-GB"/>
        </w:rPr>
        <w:t>Department of Medica</w:t>
      </w:r>
      <w:r w:rsidRPr="00FF17C0">
        <w:rPr>
          <w:i/>
          <w:iCs/>
          <w:lang w:val="en-GB"/>
        </w:rPr>
        <w:t>l</w:t>
      </w:r>
      <w:r w:rsidR="00122421" w:rsidRPr="00FF17C0">
        <w:rPr>
          <w:i/>
          <w:iCs/>
          <w:lang w:val="en-GB"/>
        </w:rPr>
        <w:t xml:space="preserve"> Laboratory Science, Imo State University, Owerri, Imo State, Nigeria</w:t>
      </w:r>
    </w:p>
    <w:p w:rsidR="00122421" w:rsidRPr="00FF17C0" w:rsidRDefault="002F0640" w:rsidP="0027200E">
      <w:pPr>
        <w:pStyle w:val="Style"/>
        <w:spacing w:before="300"/>
        <w:jc w:val="center"/>
        <w:textAlignment w:val="baseline"/>
        <w:rPr>
          <w:i/>
          <w:iCs/>
          <w:lang w:val="en-GB"/>
        </w:rPr>
      </w:pPr>
      <w:r w:rsidRPr="00FF17C0">
        <w:rPr>
          <w:i/>
          <w:iCs/>
          <w:vertAlign w:val="superscript"/>
          <w:lang w:val="en-GB"/>
        </w:rPr>
        <w:t>2</w:t>
      </w:r>
      <w:r w:rsidRPr="00FF17C0">
        <w:rPr>
          <w:i/>
          <w:iCs/>
          <w:lang w:val="en-GB"/>
        </w:rPr>
        <w:t xml:space="preserve">Department of Medical Laboratory Science, </w:t>
      </w:r>
      <w:r w:rsidR="00122421" w:rsidRPr="00FF17C0">
        <w:rPr>
          <w:i/>
          <w:iCs/>
          <w:lang w:val="en-GB"/>
        </w:rPr>
        <w:t>Madonna University,</w:t>
      </w:r>
      <w:r w:rsidR="003961DC" w:rsidRPr="00FF17C0">
        <w:rPr>
          <w:i/>
          <w:iCs/>
          <w:lang w:val="en-GB"/>
        </w:rPr>
        <w:t xml:space="preserve"> </w:t>
      </w:r>
      <w:r w:rsidR="00122421" w:rsidRPr="00FF17C0">
        <w:rPr>
          <w:i/>
          <w:iCs/>
          <w:lang w:val="en-GB"/>
        </w:rPr>
        <w:t>Elele Campus, Elele, Rivers State, Nigeria</w:t>
      </w:r>
    </w:p>
    <w:p w:rsidR="00122421" w:rsidRPr="00FF17C0" w:rsidRDefault="00122421" w:rsidP="002F0640">
      <w:pPr>
        <w:pStyle w:val="Style"/>
        <w:spacing w:before="300"/>
        <w:jc w:val="center"/>
        <w:textAlignment w:val="baseline"/>
        <w:rPr>
          <w:lang w:val="en-GB"/>
        </w:rPr>
      </w:pPr>
      <w:r w:rsidRPr="00FF17C0">
        <w:rPr>
          <w:iCs/>
          <w:lang w:val="en-GB"/>
        </w:rPr>
        <w:t>emmanuelobeagu@yahoo.com</w:t>
      </w:r>
    </w:p>
    <w:p w:rsidR="005F05CA" w:rsidRPr="00FF17C0" w:rsidRDefault="00ED04F9" w:rsidP="00122421">
      <w:pPr>
        <w:pStyle w:val="Style"/>
        <w:spacing w:before="300" w:after="300" w:line="360" w:lineRule="auto"/>
        <w:jc w:val="center"/>
        <w:textAlignment w:val="baseline"/>
        <w:rPr>
          <w:lang w:val="en-GB"/>
        </w:rPr>
      </w:pPr>
      <w:r w:rsidRPr="00FF17C0">
        <w:rPr>
          <w:b/>
          <w:lang w:val="en-GB"/>
        </w:rPr>
        <w:t>ABSTRACT</w:t>
      </w:r>
    </w:p>
    <w:p w:rsidR="00DB26B7" w:rsidRPr="00FF17C0" w:rsidRDefault="0017066D" w:rsidP="00E432C3">
      <w:pPr>
        <w:pStyle w:val="Style"/>
        <w:spacing w:after="300"/>
        <w:jc w:val="both"/>
        <w:textAlignment w:val="baseline"/>
        <w:rPr>
          <w:iCs/>
          <w:lang w:val="en-GB"/>
        </w:rPr>
      </w:pPr>
      <w:r w:rsidRPr="00FF17C0">
        <w:rPr>
          <w:iCs/>
          <w:lang w:val="en-GB"/>
        </w:rPr>
        <w:t>This research focuses on the a</w:t>
      </w:r>
      <w:r w:rsidR="00ED04F9" w:rsidRPr="00FF17C0">
        <w:rPr>
          <w:iCs/>
          <w:lang w:val="en-GB"/>
        </w:rPr>
        <w:t>cute phase proteins (alpha-fetoprotein, erythrocyte, sedimentation rate and leucocytes counts in viral hepatitis patients in Aba. 100 subjects (male and</w:t>
      </w:r>
      <w:r w:rsidR="00BD0D86" w:rsidRPr="00FF17C0">
        <w:rPr>
          <w:iCs/>
          <w:lang w:val="en-GB"/>
        </w:rPr>
        <w:t xml:space="preserve"> </w:t>
      </w:r>
      <w:r w:rsidR="00ED04F9" w:rsidRPr="00FF17C0">
        <w:rPr>
          <w:iCs/>
          <w:lang w:val="en-GB"/>
        </w:rPr>
        <w:t>female) were used</w:t>
      </w:r>
      <w:r w:rsidR="00BD0D86" w:rsidRPr="00FF17C0">
        <w:rPr>
          <w:iCs/>
          <w:lang w:val="en-GB"/>
        </w:rPr>
        <w:t xml:space="preserve"> </w:t>
      </w:r>
      <w:r w:rsidR="00ED04F9" w:rsidRPr="00FF17C0">
        <w:rPr>
          <w:iCs/>
          <w:lang w:val="en-GB"/>
        </w:rPr>
        <w:t xml:space="preserve">for the subjects </w:t>
      </w:r>
      <w:r w:rsidRPr="00FF17C0">
        <w:rPr>
          <w:iCs/>
          <w:lang w:val="en-GB"/>
        </w:rPr>
        <w:t>HBV</w:t>
      </w:r>
      <w:r w:rsidR="00ED04F9" w:rsidRPr="00FF17C0">
        <w:rPr>
          <w:iCs/>
          <w:lang w:val="en-GB"/>
        </w:rPr>
        <w:t>, HCV 70 hepatitis subjects and 30 non hepatitis subjects used as the control. The level of alpha</w:t>
      </w:r>
      <w:r w:rsidR="00BD0D86" w:rsidRPr="00FF17C0">
        <w:rPr>
          <w:iCs/>
          <w:lang w:val="en-GB"/>
        </w:rPr>
        <w:t xml:space="preserve"> </w:t>
      </w:r>
      <w:r w:rsidR="00ED04F9" w:rsidRPr="00FF17C0">
        <w:rPr>
          <w:iCs/>
          <w:lang w:val="en-GB"/>
        </w:rPr>
        <w:softHyphen/>
      </w:r>
      <w:r w:rsidR="00ED04F9" w:rsidRPr="00FF17C0">
        <w:rPr>
          <w:rFonts w:eastAsia="Arial"/>
          <w:iCs/>
          <w:lang w:val="en-GB"/>
        </w:rPr>
        <w:t xml:space="preserve">fetoprotein </w:t>
      </w:r>
      <w:r w:rsidR="00ED04F9" w:rsidRPr="00FF17C0">
        <w:rPr>
          <w:iCs/>
          <w:lang w:val="en-GB"/>
        </w:rPr>
        <w:t>was determined using microplate Enzymes Immunoassay method an</w:t>
      </w:r>
      <w:r w:rsidRPr="00FF17C0">
        <w:rPr>
          <w:iCs/>
          <w:lang w:val="en-GB"/>
        </w:rPr>
        <w:t>d some Hematological parameters; t</w:t>
      </w:r>
      <w:r w:rsidR="00ED04F9" w:rsidRPr="00FF17C0">
        <w:rPr>
          <w:iCs/>
          <w:lang w:val="en-GB"/>
        </w:rPr>
        <w:t xml:space="preserve">he </w:t>
      </w:r>
      <w:r w:rsidR="00ED04F9" w:rsidRPr="00FF17C0">
        <w:rPr>
          <w:rFonts w:eastAsia="Arial"/>
          <w:iCs/>
          <w:lang w:val="en-GB"/>
        </w:rPr>
        <w:t xml:space="preserve">Alpha-fetoprotein </w:t>
      </w:r>
      <w:r w:rsidR="00ED04F9" w:rsidRPr="00FF17C0">
        <w:rPr>
          <w:lang w:val="en-GB"/>
        </w:rPr>
        <w:t xml:space="preserve">(6.42 ± </w:t>
      </w:r>
      <w:r w:rsidR="00250B80" w:rsidRPr="00FF17C0">
        <w:rPr>
          <w:iCs/>
          <w:lang w:val="en-GB"/>
        </w:rPr>
        <w:t>0.12), e</w:t>
      </w:r>
      <w:r w:rsidR="00ED04F9" w:rsidRPr="00FF17C0">
        <w:rPr>
          <w:iCs/>
          <w:lang w:val="en-GB"/>
        </w:rPr>
        <w:t xml:space="preserve">rythrocyte sedimentation rate </w:t>
      </w:r>
      <w:r w:rsidR="00ED04F9" w:rsidRPr="00FF17C0">
        <w:rPr>
          <w:lang w:val="en-GB"/>
        </w:rPr>
        <w:t xml:space="preserve">(16.8 </w:t>
      </w:r>
      <w:r w:rsidR="00ED04F9" w:rsidRPr="00FF17C0">
        <w:rPr>
          <w:rFonts w:eastAsia="Arial"/>
          <w:w w:val="141"/>
          <w:lang w:val="en-GB"/>
        </w:rPr>
        <w:t xml:space="preserve">± </w:t>
      </w:r>
      <w:r w:rsidR="00ED04F9" w:rsidRPr="00FF17C0">
        <w:rPr>
          <w:iCs/>
          <w:lang w:val="en-GB"/>
        </w:rPr>
        <w:t xml:space="preserve">0.88) and Leucocyte count </w:t>
      </w:r>
      <w:r w:rsidR="00ED04F9" w:rsidRPr="00FF17C0">
        <w:rPr>
          <w:lang w:val="en-GB"/>
        </w:rPr>
        <w:t xml:space="preserve">(9.87 </w:t>
      </w:r>
      <w:r w:rsidR="00ED04F9" w:rsidRPr="00FF17C0">
        <w:rPr>
          <w:rFonts w:eastAsia="Arial"/>
          <w:w w:val="141"/>
          <w:lang w:val="en-GB"/>
        </w:rPr>
        <w:t xml:space="preserve">± </w:t>
      </w:r>
      <w:r w:rsidR="00ED04F9" w:rsidRPr="00FF17C0">
        <w:rPr>
          <w:iCs/>
          <w:lang w:val="en-GB"/>
        </w:rPr>
        <w:t xml:space="preserve">0.33) were increased in viral hepatitis were </w:t>
      </w:r>
      <w:r w:rsidR="00BD0D86" w:rsidRPr="00FF17C0">
        <w:rPr>
          <w:iCs/>
          <w:lang w:val="en-GB"/>
        </w:rPr>
        <w:t>significantly</w:t>
      </w:r>
      <w:r w:rsidR="00ED04F9" w:rsidRPr="00FF17C0">
        <w:rPr>
          <w:iCs/>
          <w:lang w:val="en-GB"/>
        </w:rPr>
        <w:t xml:space="preserve"> increased when compared with the control of (4.00</w:t>
      </w:r>
      <w:r w:rsidR="00ED04F9" w:rsidRPr="00FF17C0">
        <w:rPr>
          <w:iCs/>
          <w:u w:val="single"/>
          <w:lang w:val="en-GB"/>
        </w:rPr>
        <w:t>+</w:t>
      </w:r>
      <w:r w:rsidR="00ED04F9" w:rsidRPr="00FF17C0">
        <w:rPr>
          <w:iCs/>
          <w:lang w:val="en-GB"/>
        </w:rPr>
        <w:t xml:space="preserve"> 0.15) re</w:t>
      </w:r>
      <w:r w:rsidR="00250B80" w:rsidRPr="00FF17C0">
        <w:rPr>
          <w:iCs/>
          <w:lang w:val="en-GB"/>
        </w:rPr>
        <w:t>spectively (P&lt;.0.05)</w:t>
      </w:r>
      <w:r w:rsidR="00BD0D86" w:rsidRPr="00FF17C0">
        <w:rPr>
          <w:iCs/>
          <w:lang w:val="en-GB"/>
        </w:rPr>
        <w:t>.</w:t>
      </w:r>
      <w:r w:rsidR="00250B80" w:rsidRPr="00FF17C0">
        <w:rPr>
          <w:iCs/>
          <w:lang w:val="en-GB"/>
        </w:rPr>
        <w:t xml:space="preserve"> ESR and WBC</w:t>
      </w:r>
      <w:r w:rsidR="00ED04F9" w:rsidRPr="00FF17C0">
        <w:rPr>
          <w:iCs/>
          <w:lang w:val="en-GB"/>
        </w:rPr>
        <w:t xml:space="preserve"> count was increase in viral hepatitis patient when compared with the control the use of alpha-fetoprotein, Erythrocyte sedimentation rate and Leucocytes count could be an important diagnosis and evaluation, and therapeutics management of viral hepatitis patients.</w:t>
      </w:r>
      <w:r w:rsidRPr="00FF17C0">
        <w:rPr>
          <w:iCs/>
          <w:lang w:val="en-GB"/>
        </w:rPr>
        <w:t xml:space="preserve"> </w:t>
      </w:r>
    </w:p>
    <w:p w:rsidR="0017066D" w:rsidRDefault="0017066D" w:rsidP="00122421">
      <w:pPr>
        <w:pStyle w:val="Style"/>
        <w:spacing w:after="300" w:line="360" w:lineRule="auto"/>
        <w:jc w:val="both"/>
        <w:textAlignment w:val="baseline"/>
        <w:rPr>
          <w:i/>
          <w:iCs/>
          <w:lang w:val="en-GB"/>
        </w:rPr>
      </w:pPr>
      <w:r w:rsidRPr="00FF17C0">
        <w:rPr>
          <w:b/>
          <w:i/>
          <w:iCs/>
          <w:lang w:val="en-GB"/>
        </w:rPr>
        <w:t>Keywords</w:t>
      </w:r>
      <w:r w:rsidRPr="00FF17C0">
        <w:rPr>
          <w:i/>
          <w:iCs/>
          <w:lang w:val="en-GB"/>
        </w:rPr>
        <w:t>: alpha-fetoprotein, erythrocyte, sedimentation rate, leucocytes counts, viral hepatitis patients</w:t>
      </w:r>
    </w:p>
    <w:p w:rsidR="00B81F5E" w:rsidRPr="00B81F5E" w:rsidRDefault="00B81F5E" w:rsidP="00122421">
      <w:pPr>
        <w:pStyle w:val="Style"/>
        <w:spacing w:after="300" w:line="360" w:lineRule="auto"/>
        <w:jc w:val="both"/>
        <w:textAlignment w:val="baseline"/>
        <w:rPr>
          <w:iCs/>
          <w:lang w:val="en-GB"/>
        </w:rPr>
      </w:pPr>
    </w:p>
    <w:p w:rsidR="00B81F5E" w:rsidRDefault="00B81F5E">
      <w:pPr>
        <w:rPr>
          <w:rFonts w:ascii="Times New Roman" w:hAnsi="Times New Roman" w:cs="Times New Roman"/>
          <w:b/>
          <w:w w:val="110"/>
          <w:sz w:val="24"/>
          <w:szCs w:val="24"/>
          <w:lang w:val="en-GB"/>
        </w:rPr>
      </w:pPr>
      <w:r>
        <w:rPr>
          <w:b/>
          <w:w w:val="110"/>
          <w:lang w:val="en-GB"/>
        </w:rPr>
        <w:br w:type="page"/>
      </w:r>
    </w:p>
    <w:p w:rsidR="00DB26B7" w:rsidRPr="00FF17C0" w:rsidRDefault="00DB26B7" w:rsidP="003961DC">
      <w:pPr>
        <w:pStyle w:val="Style"/>
        <w:spacing w:before="300" w:after="300" w:line="360" w:lineRule="auto"/>
        <w:jc w:val="both"/>
        <w:textAlignment w:val="baseline"/>
        <w:rPr>
          <w:b/>
          <w:lang w:val="en-GB"/>
        </w:rPr>
      </w:pPr>
      <w:r w:rsidRPr="00FF17C0">
        <w:rPr>
          <w:b/>
          <w:w w:val="110"/>
          <w:lang w:val="en-GB"/>
        </w:rPr>
        <w:lastRenderedPageBreak/>
        <w:t>INTRODUCTION</w:t>
      </w:r>
    </w:p>
    <w:p w:rsidR="00EA40EF" w:rsidRPr="00FF17C0" w:rsidRDefault="00DB26B7" w:rsidP="003961DC">
      <w:pPr>
        <w:spacing w:line="360" w:lineRule="auto"/>
        <w:jc w:val="both"/>
        <w:rPr>
          <w:rStyle w:val="markedcontent"/>
          <w:rFonts w:ascii="Times New Roman" w:hAnsi="Times New Roman" w:cs="Times New Roman"/>
          <w:sz w:val="24"/>
          <w:szCs w:val="24"/>
          <w:lang w:val="en-GB"/>
        </w:rPr>
      </w:pPr>
      <w:r w:rsidRPr="00FF17C0">
        <w:rPr>
          <w:rFonts w:ascii="Times New Roman" w:hAnsi="Times New Roman" w:cs="Times New Roman"/>
          <w:sz w:val="24"/>
          <w:szCs w:val="24"/>
          <w:lang w:val="en-GB"/>
        </w:rPr>
        <w:t>Acute phase proteins have been well recognised for their application to human medicine and have been described to have value in the diagnosis and prognosis of various inflammatory and organ diseases, organ transplant, and cancer treatment</w:t>
      </w:r>
      <w:r w:rsidR="00946F62" w:rsidRPr="00FF17C0">
        <w:rPr>
          <w:lang w:val="en-GB"/>
        </w:rPr>
        <w:t>.</w:t>
      </w:r>
      <w:r w:rsidR="006B3CC2" w:rsidRPr="00FF17C0">
        <w:rPr>
          <w:lang w:val="en-GB"/>
        </w:rPr>
        <w:t xml:space="preserve"> </w:t>
      </w:r>
      <w:r w:rsidRPr="00FF17C0">
        <w:rPr>
          <w:rFonts w:ascii="Times New Roman" w:hAnsi="Times New Roman" w:cs="Times New Roman"/>
          <w:sz w:val="24"/>
          <w:szCs w:val="24"/>
          <w:lang w:val="en-GB"/>
        </w:rPr>
        <w:t>Erythrocytes sedimentation rate (ESR) which is one of the oldest laboratory test in clinical medicine is a broad-spectrum non-specific indicator of disease. Its usefulness is the monitor of disease progression (Isbister and Harmening 1988). It has been reported that ESR of 30mm per hour or more may be present over the age of 60years without any obvious cause (</w:t>
      </w:r>
      <w:r w:rsidR="00724531" w:rsidRPr="00FF17C0">
        <w:rPr>
          <w:lang w:val="en-GB"/>
        </w:rPr>
        <w:t xml:space="preserve">Miller </w:t>
      </w:r>
      <w:r w:rsidRPr="00FF17C0">
        <w:rPr>
          <w:rFonts w:ascii="Times New Roman" w:hAnsi="Times New Roman" w:cs="Times New Roman"/>
          <w:sz w:val="24"/>
          <w:szCs w:val="24"/>
          <w:lang w:val="en-GB"/>
        </w:rPr>
        <w:t>et al., 1983). It is raised in a wide range of infections, inflammatory reactions, degenerative changes and malignant conditions associated with changes in plasma proteins particularly increases in fibrinogen, immunoglobulin's and C-reactive proteins</w:t>
      </w:r>
      <w:r w:rsidR="00EA40EF" w:rsidRPr="00FF17C0">
        <w:rPr>
          <w:lang w:val="en-GB"/>
        </w:rPr>
        <w:t xml:space="preserve"> </w:t>
      </w:r>
      <w:r w:rsidR="00EA40EF" w:rsidRPr="00FF17C0">
        <w:rPr>
          <w:rStyle w:val="markedcontent"/>
          <w:rFonts w:ascii="Times New Roman" w:hAnsi="Times New Roman" w:cs="Times New Roman"/>
          <w:sz w:val="24"/>
          <w:szCs w:val="24"/>
          <w:lang w:val="en-GB"/>
        </w:rPr>
        <w:t>(</w:t>
      </w:r>
      <w:r w:rsidR="003961DC" w:rsidRPr="00FF17C0">
        <w:rPr>
          <w:rStyle w:val="markedcontent"/>
          <w:rFonts w:ascii="Times New Roman" w:hAnsi="Times New Roman" w:cs="Times New Roman"/>
          <w:sz w:val="24"/>
          <w:szCs w:val="24"/>
          <w:lang w:val="en-GB"/>
        </w:rPr>
        <w:t xml:space="preserve">Obeagu </w:t>
      </w:r>
      <w:r w:rsidR="003961DC" w:rsidRPr="00FF17C0">
        <w:rPr>
          <w:rStyle w:val="markedcontent"/>
          <w:rFonts w:ascii="Times New Roman" w:hAnsi="Times New Roman" w:cs="Times New Roman"/>
          <w:i/>
          <w:sz w:val="24"/>
          <w:szCs w:val="24"/>
          <w:lang w:val="en-GB"/>
        </w:rPr>
        <w:t>et al.</w:t>
      </w:r>
      <w:r w:rsidR="00EA40EF" w:rsidRPr="00FF17C0">
        <w:rPr>
          <w:rStyle w:val="markedcontent"/>
          <w:rFonts w:ascii="Times New Roman" w:hAnsi="Times New Roman" w:cs="Times New Roman"/>
          <w:i/>
          <w:sz w:val="24"/>
          <w:szCs w:val="24"/>
          <w:lang w:val="en-GB"/>
        </w:rPr>
        <w:t>,</w:t>
      </w:r>
      <w:r w:rsidR="00EA40EF" w:rsidRPr="00FF17C0">
        <w:rPr>
          <w:rStyle w:val="markedcontent"/>
          <w:rFonts w:ascii="Times New Roman" w:hAnsi="Times New Roman" w:cs="Times New Roman"/>
          <w:sz w:val="24"/>
          <w:szCs w:val="24"/>
          <w:lang w:val="en-GB"/>
        </w:rPr>
        <w:t xml:space="preserve"> 2017; </w:t>
      </w:r>
      <w:r w:rsidR="006B3CC2" w:rsidRPr="00FF17C0">
        <w:rPr>
          <w:rStyle w:val="markedcontent"/>
          <w:rFonts w:ascii="Times New Roman" w:hAnsi="Times New Roman" w:cs="Times New Roman"/>
          <w:sz w:val="24"/>
          <w:szCs w:val="24"/>
          <w:lang w:val="en-GB"/>
        </w:rPr>
        <w:t xml:space="preserve">Franscica </w:t>
      </w:r>
      <w:r w:rsidR="006B3CC2" w:rsidRPr="00FF17C0">
        <w:rPr>
          <w:rStyle w:val="markedcontent"/>
          <w:rFonts w:ascii="Times New Roman" w:hAnsi="Times New Roman" w:cs="Times New Roman"/>
          <w:i/>
          <w:sz w:val="24"/>
          <w:szCs w:val="24"/>
          <w:lang w:val="en-GB"/>
        </w:rPr>
        <w:t>et al.</w:t>
      </w:r>
      <w:r w:rsidR="00EA40EF" w:rsidRPr="00FF17C0">
        <w:rPr>
          <w:rStyle w:val="markedcontent"/>
          <w:rFonts w:ascii="Times New Roman" w:hAnsi="Times New Roman" w:cs="Times New Roman"/>
          <w:i/>
          <w:sz w:val="24"/>
          <w:szCs w:val="24"/>
          <w:lang w:val="en-GB"/>
        </w:rPr>
        <w:t>,</w:t>
      </w:r>
      <w:r w:rsidR="00EA40EF" w:rsidRPr="00FF17C0">
        <w:rPr>
          <w:rStyle w:val="markedcontent"/>
          <w:rFonts w:ascii="Times New Roman" w:hAnsi="Times New Roman" w:cs="Times New Roman"/>
          <w:sz w:val="24"/>
          <w:szCs w:val="24"/>
          <w:lang w:val="en-GB"/>
        </w:rPr>
        <w:t xml:space="preserve"> 2017; Okara </w:t>
      </w:r>
      <w:r w:rsidR="00EA40EF" w:rsidRPr="00FF17C0">
        <w:rPr>
          <w:rStyle w:val="markedcontent"/>
          <w:rFonts w:ascii="Times New Roman" w:hAnsi="Times New Roman" w:cs="Times New Roman"/>
          <w:i/>
          <w:sz w:val="24"/>
          <w:szCs w:val="24"/>
          <w:lang w:val="en-GB"/>
        </w:rPr>
        <w:t>et al.,</w:t>
      </w:r>
      <w:r w:rsidR="00EA40EF" w:rsidRPr="00FF17C0">
        <w:rPr>
          <w:rStyle w:val="markedcontent"/>
          <w:rFonts w:ascii="Times New Roman" w:hAnsi="Times New Roman" w:cs="Times New Roman"/>
          <w:sz w:val="24"/>
          <w:szCs w:val="24"/>
          <w:lang w:val="en-GB"/>
        </w:rPr>
        <w:t xml:space="preserve"> 2017; Obeagu, 2018)</w:t>
      </w:r>
    </w:p>
    <w:p w:rsidR="00DB26B7" w:rsidRPr="00FF17C0" w:rsidRDefault="00DB26B7" w:rsidP="003961DC">
      <w:pPr>
        <w:pStyle w:val="Style"/>
        <w:spacing w:after="300" w:line="360" w:lineRule="auto"/>
        <w:jc w:val="both"/>
        <w:textAlignment w:val="baseline"/>
        <w:rPr>
          <w:lang w:val="en-GB"/>
        </w:rPr>
      </w:pPr>
      <w:r w:rsidRPr="00FF17C0">
        <w:rPr>
          <w:lang w:val="en-GB"/>
        </w:rPr>
        <w:t xml:space="preserve">On the other </w:t>
      </w:r>
      <w:r w:rsidR="00E432C3" w:rsidRPr="00FF17C0">
        <w:rPr>
          <w:lang w:val="en-GB"/>
        </w:rPr>
        <w:t>hand,</w:t>
      </w:r>
      <w:r w:rsidRPr="00FF17C0">
        <w:rPr>
          <w:lang w:val="en-GB"/>
        </w:rPr>
        <w:t xml:space="preserve"> the white blood cell count determines the number of each type of white blood cell, present in the blood. It can be expressed as a percentage (relative numbers of each type of WBC in relationship to the total WBC) or as an absolute value (percentage x total </w:t>
      </w:r>
      <w:r w:rsidR="00724531" w:rsidRPr="00FF17C0">
        <w:rPr>
          <w:lang w:val="en-GB"/>
        </w:rPr>
        <w:t>WBC</w:t>
      </w:r>
      <w:r w:rsidRPr="00FF17C0">
        <w:rPr>
          <w:lang w:val="en-GB"/>
        </w:rPr>
        <w:t>) of these, the absolute value is much more important than the relative value.</w:t>
      </w:r>
    </w:p>
    <w:p w:rsidR="00DB26B7" w:rsidRPr="00FF17C0" w:rsidRDefault="00DB26B7" w:rsidP="003961DC">
      <w:pPr>
        <w:pStyle w:val="Style"/>
        <w:spacing w:after="300" w:line="360" w:lineRule="auto"/>
        <w:jc w:val="both"/>
        <w:textAlignment w:val="baseline"/>
        <w:rPr>
          <w:lang w:val="en-GB"/>
        </w:rPr>
      </w:pPr>
      <w:r w:rsidRPr="00FF17C0">
        <w:rPr>
          <w:lang w:val="en-GB"/>
        </w:rPr>
        <w:t>The purpose of this st</w:t>
      </w:r>
      <w:r w:rsidR="00724531" w:rsidRPr="00FF17C0">
        <w:rPr>
          <w:lang w:val="en-GB"/>
        </w:rPr>
        <w:t>udy is to determine the effects of s</w:t>
      </w:r>
      <w:r w:rsidRPr="00FF17C0">
        <w:rPr>
          <w:lang w:val="en-GB"/>
        </w:rPr>
        <w:t xml:space="preserve">ome acute phase proteins (alpha fetoprotein, </w:t>
      </w:r>
      <w:r w:rsidR="00724531" w:rsidRPr="00FF17C0">
        <w:rPr>
          <w:lang w:val="en-GB"/>
        </w:rPr>
        <w:t>ESR and leucocyte count in viral</w:t>
      </w:r>
      <w:r w:rsidRPr="00FF17C0">
        <w:rPr>
          <w:lang w:val="en-GB"/>
        </w:rPr>
        <w:t xml:space="preserve"> hepatitis patients.</w:t>
      </w:r>
    </w:p>
    <w:p w:rsidR="00DB26B7" w:rsidRPr="00FF17C0" w:rsidRDefault="00DB26B7" w:rsidP="003961DC">
      <w:pPr>
        <w:pStyle w:val="Style"/>
        <w:spacing w:before="300" w:after="300" w:line="360" w:lineRule="auto"/>
        <w:jc w:val="both"/>
        <w:textAlignment w:val="baseline"/>
        <w:rPr>
          <w:lang w:val="en-GB"/>
        </w:rPr>
      </w:pPr>
      <w:r w:rsidRPr="00FF17C0">
        <w:rPr>
          <w:b/>
          <w:w w:val="105"/>
          <w:lang w:val="en-GB"/>
        </w:rPr>
        <w:t>MATERIALS AND METHODS</w:t>
      </w:r>
    </w:p>
    <w:p w:rsidR="00DB26B7" w:rsidRPr="00FF17C0" w:rsidRDefault="00DB26B7" w:rsidP="003961DC">
      <w:pPr>
        <w:pStyle w:val="Style"/>
        <w:spacing w:after="300" w:line="360" w:lineRule="auto"/>
        <w:jc w:val="both"/>
        <w:textAlignment w:val="baseline"/>
        <w:rPr>
          <w:lang w:val="en-GB"/>
        </w:rPr>
      </w:pPr>
      <w:r w:rsidRPr="00FF17C0">
        <w:rPr>
          <w:b/>
          <w:w w:val="105"/>
          <w:lang w:val="en-GB"/>
        </w:rPr>
        <w:t xml:space="preserve">STUDY AREA </w:t>
      </w:r>
    </w:p>
    <w:p w:rsidR="00DB26B7" w:rsidRPr="00FF17C0" w:rsidRDefault="00F16C57" w:rsidP="003961DC">
      <w:pPr>
        <w:pStyle w:val="Style"/>
        <w:spacing w:after="300" w:line="360" w:lineRule="auto"/>
        <w:jc w:val="both"/>
        <w:textAlignment w:val="baseline"/>
        <w:rPr>
          <w:lang w:val="en-GB"/>
        </w:rPr>
      </w:pPr>
      <w:r w:rsidRPr="00FF17C0">
        <w:rPr>
          <w:lang w:val="en-GB"/>
        </w:rPr>
        <w:t>The study was done</w:t>
      </w:r>
      <w:r w:rsidR="00DB26B7" w:rsidRPr="00FF17C0">
        <w:rPr>
          <w:lang w:val="en-GB"/>
        </w:rPr>
        <w:t xml:space="preserve"> at Abia State University teaching hospital Aba.</w:t>
      </w:r>
    </w:p>
    <w:p w:rsidR="00DB26B7" w:rsidRPr="00FF17C0" w:rsidRDefault="00DB26B7" w:rsidP="003961DC">
      <w:pPr>
        <w:pStyle w:val="Style"/>
        <w:spacing w:after="300" w:line="360" w:lineRule="auto"/>
        <w:jc w:val="both"/>
        <w:textAlignment w:val="baseline"/>
        <w:rPr>
          <w:lang w:val="en-GB"/>
        </w:rPr>
      </w:pPr>
      <w:r w:rsidRPr="00FF17C0">
        <w:rPr>
          <w:b/>
          <w:w w:val="105"/>
          <w:lang w:val="en-GB"/>
        </w:rPr>
        <w:t>STUDY POPULATION</w:t>
      </w:r>
    </w:p>
    <w:p w:rsidR="00DB26B7" w:rsidRPr="00FF17C0" w:rsidRDefault="00DB26B7" w:rsidP="003961DC">
      <w:pPr>
        <w:pStyle w:val="Style"/>
        <w:spacing w:after="300" w:line="360" w:lineRule="auto"/>
        <w:jc w:val="both"/>
        <w:textAlignment w:val="baseline"/>
        <w:rPr>
          <w:lang w:val="en-GB"/>
        </w:rPr>
      </w:pPr>
      <w:r w:rsidRPr="00FF17C0">
        <w:rPr>
          <w:lang w:val="en-GB"/>
        </w:rPr>
        <w:t>A total of 100 subjects were used for this study. This comprised of 70 viral Hepatitis patients and 30 non hepatitis patients.</w:t>
      </w:r>
    </w:p>
    <w:p w:rsidR="00DB26B7" w:rsidRPr="00FF17C0" w:rsidRDefault="00DB26B7" w:rsidP="003961DC">
      <w:pPr>
        <w:pStyle w:val="Style"/>
        <w:spacing w:after="300" w:line="360" w:lineRule="auto"/>
        <w:jc w:val="both"/>
        <w:textAlignment w:val="baseline"/>
        <w:rPr>
          <w:lang w:val="en-GB"/>
        </w:rPr>
      </w:pPr>
      <w:r w:rsidRPr="00FF17C0">
        <w:rPr>
          <w:b/>
          <w:w w:val="105"/>
          <w:lang w:val="en-GB"/>
        </w:rPr>
        <w:t>Ethical Approval/Informed Concept</w:t>
      </w:r>
    </w:p>
    <w:p w:rsidR="00DB26B7" w:rsidRPr="00FF17C0" w:rsidRDefault="00DB26B7" w:rsidP="003961DC">
      <w:pPr>
        <w:pStyle w:val="Style"/>
        <w:spacing w:after="300" w:line="360" w:lineRule="auto"/>
        <w:jc w:val="both"/>
        <w:textAlignment w:val="baseline"/>
        <w:rPr>
          <w:lang w:val="en-GB"/>
        </w:rPr>
      </w:pPr>
      <w:r w:rsidRPr="00FF17C0">
        <w:rPr>
          <w:lang w:val="en-GB"/>
        </w:rPr>
        <w:lastRenderedPageBreak/>
        <w:t>Permissions were dully obtained from the ethical committee of Abia State University Teaching Hospital Aba.</w:t>
      </w:r>
    </w:p>
    <w:p w:rsidR="00DB26B7" w:rsidRPr="00FF17C0" w:rsidRDefault="00DB26B7" w:rsidP="003961DC">
      <w:pPr>
        <w:pStyle w:val="Style"/>
        <w:spacing w:after="300" w:line="360" w:lineRule="auto"/>
        <w:jc w:val="both"/>
        <w:textAlignment w:val="baseline"/>
        <w:rPr>
          <w:lang w:val="en-GB"/>
        </w:rPr>
      </w:pPr>
      <w:r w:rsidRPr="00FF17C0">
        <w:rPr>
          <w:b/>
          <w:w w:val="105"/>
          <w:lang w:val="en-GB"/>
        </w:rPr>
        <w:t>Sample Size</w:t>
      </w:r>
    </w:p>
    <w:p w:rsidR="00DB26B7" w:rsidRPr="00FF17C0" w:rsidRDefault="00DB26B7" w:rsidP="003961DC">
      <w:pPr>
        <w:pStyle w:val="Style"/>
        <w:spacing w:after="300" w:line="360" w:lineRule="auto"/>
        <w:jc w:val="both"/>
        <w:textAlignment w:val="baseline"/>
        <w:rPr>
          <w:lang w:val="en-GB"/>
        </w:rPr>
      </w:pPr>
      <w:r w:rsidRPr="00FF17C0">
        <w:rPr>
          <w:lang w:val="en-GB"/>
        </w:rPr>
        <w:t xml:space="preserve">100 samples of viral hepatitis patients </w:t>
      </w:r>
      <w:r w:rsidR="003961DC" w:rsidRPr="00FF17C0">
        <w:rPr>
          <w:lang w:val="en-GB"/>
        </w:rPr>
        <w:t>were</w:t>
      </w:r>
      <w:r w:rsidRPr="00FF17C0">
        <w:rPr>
          <w:lang w:val="en-GB"/>
        </w:rPr>
        <w:t xml:space="preserve"> used for this study </w:t>
      </w:r>
    </w:p>
    <w:p w:rsidR="00DB26B7" w:rsidRPr="00FF17C0" w:rsidRDefault="00DB26B7" w:rsidP="003961DC">
      <w:pPr>
        <w:pStyle w:val="Style"/>
        <w:spacing w:after="300" w:line="360" w:lineRule="auto"/>
        <w:jc w:val="both"/>
        <w:textAlignment w:val="baseline"/>
        <w:rPr>
          <w:lang w:val="en-GB"/>
        </w:rPr>
      </w:pPr>
      <w:r w:rsidRPr="00FF17C0">
        <w:rPr>
          <w:b/>
          <w:w w:val="105"/>
          <w:lang w:val="en-GB"/>
        </w:rPr>
        <w:t>Collection of Samples</w:t>
      </w:r>
    </w:p>
    <w:p w:rsidR="00DB26B7" w:rsidRPr="00FF17C0" w:rsidRDefault="00DB26B7" w:rsidP="003961DC">
      <w:pPr>
        <w:pStyle w:val="Style"/>
        <w:spacing w:after="300" w:line="360" w:lineRule="auto"/>
        <w:jc w:val="both"/>
        <w:textAlignment w:val="baseline"/>
        <w:rPr>
          <w:lang w:val="en-GB"/>
        </w:rPr>
      </w:pPr>
      <w:r w:rsidRPr="00FF17C0">
        <w:rPr>
          <w:lang w:val="en-GB"/>
        </w:rPr>
        <w:t>5mls syringe filled w</w:t>
      </w:r>
      <w:r w:rsidR="00A14C79" w:rsidRPr="00FF17C0">
        <w:rPr>
          <w:lang w:val="en-GB"/>
        </w:rPr>
        <w:t>ith standard gauge disposable needle</w:t>
      </w:r>
      <w:r w:rsidRPr="00FF17C0">
        <w:rPr>
          <w:lang w:val="en-GB"/>
        </w:rPr>
        <w:t xml:space="preserve"> was used to withdraw 4mls of blood from the subjects. 2mls were dispensed into a dry plain tube and allowed to clot. 2mlswere dispensed with an EDTA container. The clotted blood samples in the plain tubes were Centrifuged and preserved in Abia State University Teaching Hospital where the analysis was done.</w:t>
      </w:r>
    </w:p>
    <w:p w:rsidR="00DB26B7" w:rsidRPr="00FF17C0" w:rsidRDefault="00DB26B7" w:rsidP="003961DC">
      <w:pPr>
        <w:pStyle w:val="Style"/>
        <w:spacing w:before="300" w:after="300" w:line="360" w:lineRule="auto"/>
        <w:jc w:val="both"/>
        <w:textAlignment w:val="baseline"/>
        <w:rPr>
          <w:lang w:val="en-GB"/>
        </w:rPr>
      </w:pPr>
      <w:r w:rsidRPr="00FF17C0">
        <w:rPr>
          <w:b/>
          <w:w w:val="105"/>
          <w:lang w:val="en-GB"/>
        </w:rPr>
        <w:t>Determination of Erythrocyte Sedimentation Rate (ESR) by Westergreen Method (</w:t>
      </w:r>
      <w:r w:rsidR="00CA6B65" w:rsidRPr="00FF17C0">
        <w:rPr>
          <w:b/>
          <w:w w:val="105"/>
          <w:lang w:val="en-GB"/>
        </w:rPr>
        <w:t xml:space="preserve">Miller </w:t>
      </w:r>
      <w:r w:rsidRPr="00FF17C0">
        <w:rPr>
          <w:rFonts w:eastAsia="Arial"/>
          <w:b/>
          <w:i/>
          <w:iCs/>
          <w:lang w:val="en-GB"/>
        </w:rPr>
        <w:t xml:space="preserve">et </w:t>
      </w:r>
      <w:r w:rsidRPr="00FF17C0">
        <w:rPr>
          <w:rFonts w:eastAsia="Arial"/>
          <w:i/>
          <w:iCs/>
          <w:lang w:val="en-GB"/>
        </w:rPr>
        <w:t xml:space="preserve">al., </w:t>
      </w:r>
      <w:r w:rsidRPr="00FF17C0">
        <w:rPr>
          <w:b/>
          <w:iCs/>
          <w:lang w:val="en-GB"/>
        </w:rPr>
        <w:t>200</w:t>
      </w:r>
      <w:r w:rsidRPr="00FF17C0">
        <w:rPr>
          <w:b/>
          <w:i/>
          <w:iCs/>
          <w:lang w:val="en-GB"/>
        </w:rPr>
        <w:t>).</w:t>
      </w:r>
    </w:p>
    <w:p w:rsidR="00DB26B7" w:rsidRPr="00FF17C0" w:rsidRDefault="00DB26B7" w:rsidP="003961DC">
      <w:pPr>
        <w:pStyle w:val="Style"/>
        <w:spacing w:after="300" w:line="360" w:lineRule="auto"/>
        <w:jc w:val="both"/>
        <w:textAlignment w:val="baseline"/>
        <w:rPr>
          <w:lang w:val="en-GB"/>
        </w:rPr>
      </w:pPr>
      <w:r w:rsidRPr="00FF17C0">
        <w:rPr>
          <w:b/>
          <w:w w:val="105"/>
          <w:lang w:val="en-GB"/>
        </w:rPr>
        <w:t>Procedure</w:t>
      </w:r>
    </w:p>
    <w:p w:rsidR="00DB26B7" w:rsidRPr="00FF17C0" w:rsidRDefault="00DB26B7" w:rsidP="003961DC">
      <w:pPr>
        <w:pStyle w:val="Style"/>
        <w:spacing w:after="300" w:line="360" w:lineRule="auto"/>
        <w:jc w:val="both"/>
        <w:textAlignment w:val="baseline"/>
        <w:rPr>
          <w:lang w:val="en-GB"/>
        </w:rPr>
      </w:pPr>
      <w:r w:rsidRPr="00FF17C0">
        <w:rPr>
          <w:lang w:val="en-GB"/>
        </w:rPr>
        <w:t>Anticoagulated blood was placed in an upright tube and allowed to stand for one hour. After one hour, it was read macroscopically where the red cell meets the plasma and reported in mmlhr.</w:t>
      </w:r>
    </w:p>
    <w:p w:rsidR="00DB26B7" w:rsidRPr="00FF17C0" w:rsidRDefault="00DB26B7" w:rsidP="003961DC">
      <w:pPr>
        <w:pStyle w:val="Style"/>
        <w:spacing w:before="240" w:after="300" w:line="360" w:lineRule="auto"/>
        <w:jc w:val="both"/>
        <w:textAlignment w:val="baseline"/>
        <w:rPr>
          <w:lang w:val="en-GB"/>
        </w:rPr>
      </w:pPr>
      <w:r w:rsidRPr="00FF17C0">
        <w:rPr>
          <w:b/>
          <w:w w:val="105"/>
          <w:lang w:val="en-GB"/>
        </w:rPr>
        <w:t xml:space="preserve">Determination of Leucocytes Count by Neubaur Counting Chamber Method </w:t>
      </w:r>
      <w:r w:rsidRPr="00FF17C0">
        <w:rPr>
          <w:i/>
          <w:iCs/>
          <w:lang w:val="en-GB"/>
        </w:rPr>
        <w:t>(</w:t>
      </w:r>
      <w:r w:rsidR="00CA6B65" w:rsidRPr="00FF17C0">
        <w:rPr>
          <w:i/>
          <w:iCs/>
          <w:lang w:val="en-GB"/>
        </w:rPr>
        <w:t xml:space="preserve">Bregman </w:t>
      </w:r>
      <w:r w:rsidRPr="00FF17C0">
        <w:rPr>
          <w:i/>
          <w:iCs/>
          <w:lang w:val="en-GB"/>
        </w:rPr>
        <w:t>et al., 2008)</w:t>
      </w:r>
    </w:p>
    <w:p w:rsidR="00DB26B7" w:rsidRPr="00FF17C0" w:rsidRDefault="00DB26B7" w:rsidP="003961DC">
      <w:pPr>
        <w:pStyle w:val="Style"/>
        <w:spacing w:after="300" w:line="360" w:lineRule="auto"/>
        <w:jc w:val="both"/>
        <w:textAlignment w:val="baseline"/>
        <w:rPr>
          <w:lang w:val="en-GB"/>
        </w:rPr>
      </w:pPr>
      <w:r w:rsidRPr="00FF17C0">
        <w:rPr>
          <w:b/>
          <w:w w:val="105"/>
          <w:lang w:val="en-GB"/>
        </w:rPr>
        <w:t>Procedure</w:t>
      </w:r>
    </w:p>
    <w:p w:rsidR="00DB26B7" w:rsidRPr="00FF17C0" w:rsidRDefault="00DB26B7" w:rsidP="003961DC">
      <w:pPr>
        <w:pStyle w:val="Style"/>
        <w:spacing w:after="300" w:line="360" w:lineRule="auto"/>
        <w:jc w:val="both"/>
        <w:textAlignment w:val="baseline"/>
        <w:rPr>
          <w:lang w:val="en-GB"/>
        </w:rPr>
      </w:pPr>
      <w:r w:rsidRPr="00FF17C0">
        <w:rPr>
          <w:lang w:val="en-GB"/>
        </w:rPr>
        <w:t>0.38mls ofturks solution (diluent) was pipeted into a dry test tube</w:t>
      </w:r>
    </w:p>
    <w:p w:rsidR="00DB26B7" w:rsidRPr="00FF17C0" w:rsidRDefault="00DB26B7" w:rsidP="003961DC">
      <w:pPr>
        <w:pStyle w:val="Style"/>
        <w:spacing w:after="300" w:line="360" w:lineRule="auto"/>
        <w:jc w:val="both"/>
        <w:textAlignment w:val="baseline"/>
        <w:rPr>
          <w:lang w:val="en-GB"/>
        </w:rPr>
      </w:pPr>
      <w:r w:rsidRPr="00FF17C0">
        <w:rPr>
          <w:lang w:val="en-GB"/>
        </w:rPr>
        <w:t xml:space="preserve">0.20mls of blood was added into the test tube, it was mixed properly, the neubaur chamber was charged by placing it into a moist petri dish and a drop of blood was added to the counting area. It was allowed to settle and counted schematically from the upper left small square of the square. The count was repeated in all the four comers of the chamber and the </w:t>
      </w:r>
      <w:r w:rsidRPr="00FF17C0">
        <w:rPr>
          <w:lang w:val="en-GB"/>
        </w:rPr>
        <w:lastRenderedPageBreak/>
        <w:t>reading taken.</w:t>
      </w:r>
    </w:p>
    <w:p w:rsidR="00DB26B7" w:rsidRPr="00FF17C0" w:rsidRDefault="00DB26B7" w:rsidP="003961DC">
      <w:pPr>
        <w:pStyle w:val="Style"/>
        <w:spacing w:after="300" w:line="360" w:lineRule="auto"/>
        <w:jc w:val="both"/>
        <w:textAlignment w:val="baseline"/>
        <w:rPr>
          <w:lang w:val="en-GB"/>
        </w:rPr>
      </w:pPr>
      <w:r w:rsidRPr="00FF17C0">
        <w:rPr>
          <w:b/>
          <w:w w:val="105"/>
          <w:lang w:val="en-GB"/>
        </w:rPr>
        <w:t xml:space="preserve">Determination of Alpha-Fetoprotein </w:t>
      </w:r>
      <w:r w:rsidRPr="00FF17C0">
        <w:rPr>
          <w:i/>
          <w:iCs/>
          <w:lang w:val="en-GB"/>
        </w:rPr>
        <w:t>(</w:t>
      </w:r>
      <w:r w:rsidR="00CA6B65" w:rsidRPr="00FF17C0">
        <w:rPr>
          <w:iCs/>
          <w:lang w:val="en-GB"/>
        </w:rPr>
        <w:t xml:space="preserve">Mizejewski </w:t>
      </w:r>
      <w:r w:rsidRPr="00FF17C0">
        <w:rPr>
          <w:i/>
          <w:iCs/>
          <w:lang w:val="en-GB"/>
        </w:rPr>
        <w:t xml:space="preserve">et al., 2001). </w:t>
      </w:r>
    </w:p>
    <w:p w:rsidR="00FD51CD" w:rsidRDefault="00DB26B7" w:rsidP="00FD51CD">
      <w:pPr>
        <w:pStyle w:val="Style"/>
        <w:spacing w:after="300" w:line="360" w:lineRule="auto"/>
        <w:jc w:val="both"/>
        <w:textAlignment w:val="baseline"/>
        <w:rPr>
          <w:b/>
          <w:w w:val="105"/>
          <w:lang w:val="en-GB"/>
        </w:rPr>
      </w:pPr>
      <w:r w:rsidRPr="00FF17C0">
        <w:rPr>
          <w:b/>
          <w:w w:val="105"/>
          <w:lang w:val="en-GB"/>
        </w:rPr>
        <w:t>Procedure</w:t>
      </w:r>
    </w:p>
    <w:p w:rsidR="00DB26B7" w:rsidRPr="00FF17C0" w:rsidRDefault="00DB26B7" w:rsidP="00FD51CD">
      <w:pPr>
        <w:pStyle w:val="Style"/>
        <w:spacing w:after="300" w:line="360" w:lineRule="auto"/>
        <w:jc w:val="both"/>
        <w:textAlignment w:val="baseline"/>
        <w:rPr>
          <w:lang w:val="en-GB"/>
        </w:rPr>
      </w:pPr>
      <w:r w:rsidRPr="00FF17C0">
        <w:rPr>
          <w:lang w:val="en-GB"/>
        </w:rPr>
        <w:t xml:space="preserve">Format the microplates wells for each serum reference control, replace any unused micowell strip back into the aluminum bag, seal and store at </w:t>
      </w:r>
      <w:r w:rsidRPr="00FF17C0">
        <w:rPr>
          <w:w w:val="88"/>
          <w:lang w:val="en-GB"/>
        </w:rPr>
        <w:t>2-8</w:t>
      </w:r>
      <m:oMath>
        <m:r>
          <w:rPr>
            <w:rFonts w:ascii="Cambria Math" w:hAnsi="Cambria Math"/>
            <w:w w:val="88"/>
            <w:lang w:val="en-GB"/>
          </w:rPr>
          <m:t>°</m:t>
        </m:r>
      </m:oMath>
      <w:r w:rsidRPr="00FF17C0">
        <w:rPr>
          <w:w w:val="88"/>
          <w:lang w:val="en-GB"/>
        </w:rPr>
        <w:t>C</w:t>
      </w:r>
    </w:p>
    <w:p w:rsidR="00DB26B7" w:rsidRPr="00FF17C0" w:rsidRDefault="00DB26B7" w:rsidP="003961DC">
      <w:pPr>
        <w:pStyle w:val="Style"/>
        <w:numPr>
          <w:ilvl w:val="0"/>
          <w:numId w:val="2"/>
        </w:numPr>
        <w:spacing w:line="360" w:lineRule="auto"/>
        <w:ind w:left="567" w:hanging="567"/>
        <w:jc w:val="both"/>
        <w:textAlignment w:val="baseline"/>
        <w:rPr>
          <w:lang w:val="en-GB"/>
        </w:rPr>
      </w:pPr>
      <w:r w:rsidRPr="00FF17C0">
        <w:rPr>
          <w:lang w:val="en-GB"/>
        </w:rPr>
        <w:t>Pipette 0.025ml (25</w:t>
      </w:r>
      <m:oMath>
        <m:r>
          <w:rPr>
            <w:rFonts w:ascii="Cambria Math" w:hAnsi="Cambria Math"/>
            <w:lang w:val="en-GB"/>
          </w:rPr>
          <m:t>μ</m:t>
        </m:r>
      </m:oMath>
      <w:r w:rsidRPr="00FF17C0">
        <w:rPr>
          <w:lang w:val="en-GB"/>
        </w:rPr>
        <w:t>l) of the appropriate serum reference control or specimen into the assigned well.</w:t>
      </w:r>
    </w:p>
    <w:p w:rsidR="00DB26B7" w:rsidRPr="00FF17C0" w:rsidRDefault="00DB26B7" w:rsidP="00122421">
      <w:pPr>
        <w:pStyle w:val="Style"/>
        <w:numPr>
          <w:ilvl w:val="0"/>
          <w:numId w:val="2"/>
        </w:numPr>
        <w:spacing w:line="360" w:lineRule="auto"/>
        <w:ind w:left="567" w:hanging="567"/>
        <w:jc w:val="both"/>
        <w:textAlignment w:val="baseline"/>
        <w:rPr>
          <w:lang w:val="en-GB"/>
        </w:rPr>
      </w:pPr>
      <w:r w:rsidRPr="00FF17C0">
        <w:rPr>
          <w:lang w:val="en-GB"/>
        </w:rPr>
        <w:t>Add 0.100ml (100</w:t>
      </w:r>
      <m:oMath>
        <m:r>
          <w:rPr>
            <w:rFonts w:ascii="Cambria Math" w:hAnsi="Cambria Math"/>
            <w:lang w:val="en-GB"/>
          </w:rPr>
          <m:t>μ</m:t>
        </m:r>
      </m:oMath>
      <w:r w:rsidRPr="00FF17C0">
        <w:rPr>
          <w:lang w:val="en-GB"/>
        </w:rPr>
        <w:t>l) of the anti AFP enzyme reagent to each well. It is very important to dispense all reagents close to the bottom of the coated well.</w:t>
      </w:r>
    </w:p>
    <w:p w:rsidR="00DB26B7" w:rsidRPr="00FF17C0" w:rsidRDefault="00DB26B7" w:rsidP="00122421">
      <w:pPr>
        <w:pStyle w:val="Style"/>
        <w:numPr>
          <w:ilvl w:val="0"/>
          <w:numId w:val="2"/>
        </w:numPr>
        <w:spacing w:line="360" w:lineRule="auto"/>
        <w:ind w:left="567" w:hanging="567"/>
        <w:jc w:val="both"/>
        <w:textAlignment w:val="baseline"/>
        <w:rPr>
          <w:lang w:val="en-GB"/>
        </w:rPr>
      </w:pPr>
      <w:r w:rsidRPr="00FF17C0">
        <w:rPr>
          <w:lang w:val="en-GB"/>
        </w:rPr>
        <w:t>Swirl the microplate gently for 20-30 seconds to mix and cover.</w:t>
      </w:r>
    </w:p>
    <w:p w:rsidR="00DB26B7" w:rsidRPr="00FF17C0" w:rsidRDefault="00DB26B7" w:rsidP="00122421">
      <w:pPr>
        <w:pStyle w:val="Style"/>
        <w:numPr>
          <w:ilvl w:val="0"/>
          <w:numId w:val="2"/>
        </w:numPr>
        <w:spacing w:line="360" w:lineRule="auto"/>
        <w:ind w:left="567" w:hanging="567"/>
        <w:jc w:val="both"/>
        <w:textAlignment w:val="baseline"/>
        <w:rPr>
          <w:lang w:val="en-GB"/>
        </w:rPr>
      </w:pPr>
      <w:r w:rsidRPr="00FF17C0">
        <w:rPr>
          <w:lang w:val="en-GB"/>
        </w:rPr>
        <w:t>Incubate 60 minutes at room temperature</w:t>
      </w:r>
    </w:p>
    <w:p w:rsidR="00DB26B7" w:rsidRPr="00FF17C0" w:rsidRDefault="00DB26B7" w:rsidP="00122421">
      <w:pPr>
        <w:pStyle w:val="Style"/>
        <w:spacing w:line="360" w:lineRule="auto"/>
        <w:jc w:val="both"/>
        <w:rPr>
          <w:lang w:val="en-GB"/>
        </w:rPr>
        <w:sectPr w:rsidR="00DB26B7" w:rsidRPr="00FF17C0" w:rsidSect="00B81F5E">
          <w:headerReference w:type="default" r:id="rId9"/>
          <w:footerReference w:type="default" r:id="rId10"/>
          <w:type w:val="continuous"/>
          <w:pgSz w:w="11907" w:h="16839" w:code="9"/>
          <w:pgMar w:top="1440" w:right="1440" w:bottom="1440" w:left="1440" w:header="708" w:footer="708" w:gutter="0"/>
          <w:pgNumType w:start="98"/>
          <w:cols w:space="708"/>
          <w:docGrid w:linePitch="31680"/>
        </w:sectPr>
      </w:pPr>
    </w:p>
    <w:p w:rsidR="00DB26B7" w:rsidRPr="00FF17C0" w:rsidRDefault="00DB26B7" w:rsidP="00122421">
      <w:pPr>
        <w:pStyle w:val="Style"/>
        <w:numPr>
          <w:ilvl w:val="0"/>
          <w:numId w:val="3"/>
        </w:numPr>
        <w:spacing w:before="300" w:line="360" w:lineRule="auto"/>
        <w:ind w:left="567" w:hanging="567"/>
        <w:jc w:val="both"/>
        <w:textAlignment w:val="baseline"/>
        <w:rPr>
          <w:lang w:val="en-GB"/>
        </w:rPr>
      </w:pPr>
      <w:r w:rsidRPr="00FF17C0">
        <w:rPr>
          <w:lang w:val="en-GB"/>
        </w:rPr>
        <w:lastRenderedPageBreak/>
        <w:t>Discard the contents of the microplate by decantation or aspiration. If decanting, tap and blot the plate dry with absorbent paper.</w:t>
      </w:r>
    </w:p>
    <w:p w:rsidR="00DB26B7" w:rsidRPr="00FF17C0" w:rsidRDefault="00DB26B7" w:rsidP="00122421">
      <w:pPr>
        <w:pStyle w:val="Style"/>
        <w:numPr>
          <w:ilvl w:val="0"/>
          <w:numId w:val="4"/>
        </w:numPr>
        <w:spacing w:line="360" w:lineRule="auto"/>
        <w:ind w:left="567" w:hanging="567"/>
        <w:jc w:val="both"/>
        <w:textAlignment w:val="baseline"/>
        <w:rPr>
          <w:lang w:val="en-GB"/>
        </w:rPr>
      </w:pPr>
      <w:r w:rsidRPr="00FF17C0">
        <w:rPr>
          <w:lang w:val="en-GB"/>
        </w:rPr>
        <w:t>Add 0.350ml (350</w:t>
      </w:r>
      <m:oMath>
        <m:r>
          <w:rPr>
            <w:rFonts w:ascii="Cambria Math"/>
            <w:lang w:val="en-GB"/>
          </w:rPr>
          <m:t xml:space="preserve"> </m:t>
        </m:r>
        <m:r>
          <w:rPr>
            <w:rFonts w:ascii="Cambria Math" w:hAnsi="Cambria Math"/>
            <w:lang w:val="en-GB"/>
          </w:rPr>
          <m:t>μ</m:t>
        </m:r>
      </m:oMath>
      <w:r w:rsidRPr="00FF17C0">
        <w:rPr>
          <w:lang w:val="en-GB"/>
        </w:rPr>
        <w:t>l) of wash buffer, decant (tap and blot) or aspirate. Repeat two (2) additional times for a total of three (3) washes. An automatic or manual plate washer can be used.</w:t>
      </w:r>
    </w:p>
    <w:p w:rsidR="00DB26B7" w:rsidRPr="00FF17C0" w:rsidRDefault="00DB26B7" w:rsidP="00122421">
      <w:pPr>
        <w:pStyle w:val="Style"/>
        <w:numPr>
          <w:ilvl w:val="0"/>
          <w:numId w:val="5"/>
        </w:numPr>
        <w:spacing w:line="360" w:lineRule="auto"/>
        <w:ind w:left="567" w:hanging="567"/>
        <w:jc w:val="both"/>
        <w:textAlignment w:val="baseline"/>
        <w:rPr>
          <w:lang w:val="en-GB"/>
        </w:rPr>
      </w:pPr>
      <w:r w:rsidRPr="00FF17C0">
        <w:rPr>
          <w:lang w:val="en-GB"/>
        </w:rPr>
        <w:t>Add 0.100ml  (100</w:t>
      </w:r>
      <m:oMath>
        <m:r>
          <w:rPr>
            <w:rFonts w:ascii="Cambria Math"/>
            <w:lang w:val="en-GB"/>
          </w:rPr>
          <m:t xml:space="preserve"> </m:t>
        </m:r>
        <m:r>
          <w:rPr>
            <w:rFonts w:ascii="Cambria Math" w:hAnsi="Cambria Math"/>
            <w:lang w:val="en-GB"/>
          </w:rPr>
          <m:t>μ</m:t>
        </m:r>
      </m:oMath>
      <w:r w:rsidRPr="00FF17C0">
        <w:rPr>
          <w:lang w:val="en-GB"/>
        </w:rPr>
        <w:t>l) of working substrate solution to all the wells</w:t>
      </w:r>
    </w:p>
    <w:p w:rsidR="00DB26B7" w:rsidRPr="00FF17C0" w:rsidRDefault="00DB26B7" w:rsidP="00122421">
      <w:pPr>
        <w:pStyle w:val="Style"/>
        <w:numPr>
          <w:ilvl w:val="0"/>
          <w:numId w:val="5"/>
        </w:numPr>
        <w:spacing w:line="360" w:lineRule="auto"/>
        <w:ind w:left="567" w:hanging="567"/>
        <w:jc w:val="both"/>
        <w:textAlignment w:val="baseline"/>
        <w:rPr>
          <w:lang w:val="en-GB"/>
        </w:rPr>
      </w:pPr>
      <w:r w:rsidRPr="00FF17C0">
        <w:rPr>
          <w:lang w:val="en-GB"/>
        </w:rPr>
        <w:t>Incubate at room temperature for (15) minutes.</w:t>
      </w:r>
    </w:p>
    <w:p w:rsidR="00DB26B7" w:rsidRPr="00FF17C0" w:rsidRDefault="00DB26B7" w:rsidP="00122421">
      <w:pPr>
        <w:pStyle w:val="Style"/>
        <w:numPr>
          <w:ilvl w:val="0"/>
          <w:numId w:val="5"/>
        </w:numPr>
        <w:spacing w:line="360" w:lineRule="auto"/>
        <w:ind w:left="567" w:hanging="567"/>
        <w:jc w:val="both"/>
        <w:textAlignment w:val="baseline"/>
        <w:rPr>
          <w:lang w:val="en-GB"/>
        </w:rPr>
      </w:pPr>
      <w:r w:rsidRPr="00FF17C0">
        <w:rPr>
          <w:lang w:val="en-GB"/>
        </w:rPr>
        <w:t>Add 0.05ml</w:t>
      </w:r>
      <w:r w:rsidRPr="00FF17C0">
        <w:rPr>
          <w:rFonts w:eastAsia="Arial"/>
          <w:i/>
          <w:iCs/>
          <w:w w:val="76"/>
          <w:lang w:val="en-GB"/>
        </w:rPr>
        <w:t xml:space="preserve"> </w:t>
      </w:r>
      <w:r w:rsidRPr="00FF17C0">
        <w:rPr>
          <w:lang w:val="en-GB"/>
        </w:rPr>
        <w:t>(50</w:t>
      </w:r>
      <m:oMath>
        <m:r>
          <w:rPr>
            <w:rFonts w:ascii="Cambria Math"/>
            <w:lang w:val="en-GB"/>
          </w:rPr>
          <m:t xml:space="preserve"> </m:t>
        </m:r>
        <m:r>
          <w:rPr>
            <w:rFonts w:ascii="Cambria Math" w:hAnsi="Cambria Math"/>
            <w:lang w:val="en-GB"/>
          </w:rPr>
          <m:t>μ</m:t>
        </m:r>
      </m:oMath>
      <w:r w:rsidRPr="00FF17C0">
        <w:rPr>
          <w:lang w:val="en-GB"/>
        </w:rPr>
        <w:t>l) f stop solution to each well mix gently for 15-20 seconds.</w:t>
      </w:r>
    </w:p>
    <w:p w:rsidR="00DB26B7" w:rsidRPr="00FF17C0" w:rsidRDefault="00DB26B7" w:rsidP="00122421">
      <w:pPr>
        <w:pStyle w:val="Style"/>
        <w:numPr>
          <w:ilvl w:val="0"/>
          <w:numId w:val="6"/>
        </w:numPr>
        <w:spacing w:line="360" w:lineRule="auto"/>
        <w:ind w:left="567" w:hanging="567"/>
        <w:jc w:val="both"/>
        <w:textAlignment w:val="baseline"/>
        <w:rPr>
          <w:lang w:val="en-GB"/>
        </w:rPr>
      </w:pPr>
      <w:r w:rsidRPr="00FF17C0">
        <w:rPr>
          <w:lang w:val="en-GB"/>
        </w:rPr>
        <w:t>Read the absorbance in each well at 450nm.</w:t>
      </w:r>
    </w:p>
    <w:p w:rsidR="00DB26B7" w:rsidRPr="00FF17C0" w:rsidRDefault="00DB26B7" w:rsidP="00122421">
      <w:pPr>
        <w:pStyle w:val="Style"/>
        <w:spacing w:before="240" w:line="360" w:lineRule="auto"/>
        <w:jc w:val="both"/>
        <w:textAlignment w:val="baseline"/>
        <w:rPr>
          <w:lang w:val="en-GB"/>
        </w:rPr>
      </w:pPr>
      <w:r w:rsidRPr="00FF17C0">
        <w:rPr>
          <w:b/>
          <w:lang w:val="en-GB"/>
        </w:rPr>
        <w:t xml:space="preserve">Determination of PCV </w:t>
      </w:r>
      <w:r w:rsidRPr="00FF17C0">
        <w:rPr>
          <w:rFonts w:eastAsia="Arial"/>
          <w:b/>
          <w:lang w:val="en-GB"/>
        </w:rPr>
        <w:t xml:space="preserve">by </w:t>
      </w:r>
      <w:r w:rsidRPr="00FF17C0">
        <w:rPr>
          <w:b/>
          <w:lang w:val="en-GB"/>
        </w:rPr>
        <w:t xml:space="preserve">Haematoant Method (Williams et al; 2009) </w:t>
      </w:r>
    </w:p>
    <w:p w:rsidR="00CA6B65" w:rsidRPr="00FF17C0" w:rsidRDefault="00DB26B7" w:rsidP="00122421">
      <w:pPr>
        <w:pStyle w:val="Style"/>
        <w:spacing w:after="300" w:line="360" w:lineRule="auto"/>
        <w:jc w:val="both"/>
        <w:textAlignment w:val="baseline"/>
        <w:rPr>
          <w:b/>
          <w:lang w:val="en-GB"/>
        </w:rPr>
      </w:pPr>
      <w:r w:rsidRPr="00FF17C0">
        <w:rPr>
          <w:b/>
          <w:lang w:val="en-GB"/>
        </w:rPr>
        <w:t>Procedure</w:t>
      </w:r>
    </w:p>
    <w:p w:rsidR="00DB26B7" w:rsidRPr="00FF17C0" w:rsidRDefault="00CA6B65" w:rsidP="00122421">
      <w:pPr>
        <w:pStyle w:val="Style"/>
        <w:spacing w:after="300" w:line="360" w:lineRule="auto"/>
        <w:jc w:val="both"/>
        <w:textAlignment w:val="baseline"/>
        <w:rPr>
          <w:lang w:val="en-GB"/>
        </w:rPr>
      </w:pPr>
      <w:r w:rsidRPr="00FF17C0">
        <w:rPr>
          <w:lang w:val="en-GB"/>
        </w:rPr>
        <w:t xml:space="preserve">Plain </w:t>
      </w:r>
      <w:r w:rsidR="00DB26B7" w:rsidRPr="00FF17C0">
        <w:rPr>
          <w:lang w:val="en-GB"/>
        </w:rPr>
        <w:t xml:space="preserve">capillary tube was properly filled with blood up to </w:t>
      </w:r>
      <w:r w:rsidR="00DB26B7" w:rsidRPr="00FF17C0">
        <w:rPr>
          <w:vertAlign w:val="superscript"/>
          <w:lang w:val="en-GB"/>
        </w:rPr>
        <w:t>3</w:t>
      </w:r>
      <w:r w:rsidR="00DB26B7" w:rsidRPr="00FF17C0">
        <w:rPr>
          <w:lang w:val="en-GB"/>
        </w:rPr>
        <w:t>/</w:t>
      </w:r>
      <w:r w:rsidR="00DB26B7" w:rsidRPr="00FF17C0">
        <w:rPr>
          <w:vertAlign w:val="subscript"/>
          <w:lang w:val="en-GB"/>
        </w:rPr>
        <w:t>4</w:t>
      </w:r>
      <w:r w:rsidR="00DB26B7" w:rsidRPr="00FF17C0">
        <w:rPr>
          <w:rFonts w:eastAsia="Arial"/>
          <w:lang w:val="en-GB"/>
        </w:rPr>
        <w:t xml:space="preserve"> </w:t>
      </w:r>
      <w:r w:rsidR="00DB26B7" w:rsidRPr="00FF17C0">
        <w:rPr>
          <w:lang w:val="en-GB"/>
        </w:rPr>
        <w:t>of the tube. Seated with plasticine and centrifuged for 5 minutes at 10,000vpm.</w:t>
      </w:r>
    </w:p>
    <w:p w:rsidR="00DB26B7" w:rsidRPr="00FF17C0" w:rsidRDefault="00DB26B7" w:rsidP="00122421">
      <w:pPr>
        <w:pStyle w:val="Style"/>
        <w:spacing w:after="300" w:line="360" w:lineRule="auto"/>
        <w:jc w:val="both"/>
        <w:textAlignment w:val="baseline"/>
        <w:rPr>
          <w:lang w:val="en-GB"/>
        </w:rPr>
      </w:pPr>
      <w:r w:rsidRPr="00FF17C0">
        <w:rPr>
          <w:lang w:val="en-GB"/>
        </w:rPr>
        <w:t xml:space="preserve">It was properly measured using the haematocut reader and results expressed as the percentage </w:t>
      </w:r>
      <w:r w:rsidRPr="00FF17C0">
        <w:rPr>
          <w:lang w:val="en-GB"/>
        </w:rPr>
        <w:lastRenderedPageBreak/>
        <w:t>of the whole blood volume.</w:t>
      </w:r>
    </w:p>
    <w:p w:rsidR="003961DC" w:rsidRPr="00FF17C0" w:rsidRDefault="003961DC" w:rsidP="00122421">
      <w:pPr>
        <w:pStyle w:val="Style"/>
        <w:spacing w:after="300" w:line="360" w:lineRule="auto"/>
        <w:jc w:val="both"/>
        <w:textAlignment w:val="baseline"/>
        <w:rPr>
          <w:lang w:val="en-GB"/>
        </w:rPr>
        <w:sectPr w:rsidR="003961DC" w:rsidRPr="00FF17C0" w:rsidSect="00FD51CD">
          <w:type w:val="continuous"/>
          <w:pgSz w:w="11907" w:h="16839" w:code="9"/>
          <w:pgMar w:top="1440" w:right="1440" w:bottom="1440" w:left="1440" w:header="708" w:footer="708" w:gutter="0"/>
          <w:cols w:space="708"/>
          <w:docGrid w:linePitch="31680"/>
        </w:sectPr>
      </w:pPr>
    </w:p>
    <w:p w:rsidR="00DB26B7" w:rsidRPr="00FF17C0" w:rsidRDefault="00DB26B7" w:rsidP="00122421">
      <w:pPr>
        <w:pStyle w:val="Style"/>
        <w:spacing w:before="300" w:after="300" w:line="360" w:lineRule="auto"/>
        <w:jc w:val="both"/>
        <w:textAlignment w:val="baseline"/>
        <w:rPr>
          <w:lang w:val="en-GB"/>
        </w:rPr>
      </w:pPr>
      <w:r w:rsidRPr="00FF17C0">
        <w:rPr>
          <w:b/>
          <w:lang w:val="en-GB"/>
        </w:rPr>
        <w:lastRenderedPageBreak/>
        <w:t xml:space="preserve">Determination of Differential Count </w:t>
      </w:r>
      <w:r w:rsidRPr="00FF17C0">
        <w:rPr>
          <w:rFonts w:eastAsia="Arial"/>
          <w:b/>
          <w:lang w:val="en-GB"/>
        </w:rPr>
        <w:t xml:space="preserve">by </w:t>
      </w:r>
      <w:r w:rsidRPr="00FF17C0">
        <w:rPr>
          <w:b/>
          <w:lang w:val="en-GB"/>
        </w:rPr>
        <w:t>Longitudinal Method (Bregmanetal; 2008)</w:t>
      </w:r>
    </w:p>
    <w:p w:rsidR="00CA6B65" w:rsidRPr="00FF17C0" w:rsidRDefault="00DB26B7" w:rsidP="00122421">
      <w:pPr>
        <w:pStyle w:val="Style"/>
        <w:spacing w:after="300" w:line="360" w:lineRule="auto"/>
        <w:jc w:val="both"/>
        <w:textAlignment w:val="baseline"/>
        <w:rPr>
          <w:b/>
          <w:lang w:val="en-GB"/>
        </w:rPr>
      </w:pPr>
      <w:r w:rsidRPr="00FF17C0">
        <w:rPr>
          <w:b/>
          <w:lang w:val="en-GB"/>
        </w:rPr>
        <w:t>Procedure</w:t>
      </w:r>
    </w:p>
    <w:p w:rsidR="00DB26B7" w:rsidRPr="00FF17C0" w:rsidRDefault="00CA6B65" w:rsidP="00122421">
      <w:pPr>
        <w:pStyle w:val="Style"/>
        <w:spacing w:after="300" w:line="360" w:lineRule="auto"/>
        <w:jc w:val="both"/>
        <w:textAlignment w:val="baseline"/>
        <w:rPr>
          <w:lang w:val="en-GB"/>
        </w:rPr>
      </w:pPr>
      <w:r w:rsidRPr="00FF17C0">
        <w:rPr>
          <w:lang w:val="en-GB"/>
        </w:rPr>
        <w:t>T</w:t>
      </w:r>
      <w:r w:rsidR="00DB26B7" w:rsidRPr="00FF17C0">
        <w:rPr>
          <w:lang w:val="en-GB"/>
        </w:rPr>
        <w:t>his blood film was prepared using clean grease free slued.</w:t>
      </w:r>
    </w:p>
    <w:p w:rsidR="00DB26B7" w:rsidRPr="00FF17C0" w:rsidRDefault="00DB26B7" w:rsidP="00122421">
      <w:pPr>
        <w:pStyle w:val="Style"/>
        <w:spacing w:after="300" w:line="360" w:lineRule="auto"/>
        <w:jc w:val="both"/>
        <w:textAlignment w:val="baseline"/>
        <w:rPr>
          <w:lang w:val="en-GB"/>
        </w:rPr>
      </w:pPr>
      <w:r w:rsidRPr="00FF17C0">
        <w:rPr>
          <w:lang w:val="en-GB"/>
        </w:rPr>
        <w:t xml:space="preserve">Slides were </w:t>
      </w:r>
      <w:r w:rsidR="00CA6B65" w:rsidRPr="00FF17C0">
        <w:rPr>
          <w:lang w:val="en-GB"/>
        </w:rPr>
        <w:t>labeled</w:t>
      </w:r>
      <w:r w:rsidRPr="00FF17C0">
        <w:rPr>
          <w:lang w:val="en-GB"/>
        </w:rPr>
        <w:t xml:space="preserve"> with the patient name with grease </w:t>
      </w:r>
      <w:r w:rsidR="00CA6B65" w:rsidRPr="00FF17C0">
        <w:rPr>
          <w:lang w:val="en-GB"/>
        </w:rPr>
        <w:t>pencil.</w:t>
      </w:r>
      <w:r w:rsidRPr="00FF17C0">
        <w:rPr>
          <w:lang w:val="en-GB"/>
        </w:rPr>
        <w:t xml:space="preserve"> It was allowed to air dry adequately and placed on a staining rack. It was flooded with leishman stain and allowed to act for 2 minutes. Double diluted with buffer distil water PH 6.8 and allow to act for 8 minutes. The slide was washed off. The back of the slide cleaned and allowed to air dry. It was viewed under the microscope using low power for overall impression and using general appearance of blood cells. Then with high power tens with a drop of immersion oil and with x100 objective tens. Differential white blood cell </w:t>
      </w:r>
      <w:r w:rsidR="003961DC" w:rsidRPr="00FF17C0">
        <w:rPr>
          <w:lang w:val="en-GB"/>
        </w:rPr>
        <w:t>was</w:t>
      </w:r>
      <w:r w:rsidRPr="00FF17C0">
        <w:rPr>
          <w:lang w:val="en-GB"/>
        </w:rPr>
        <w:t xml:space="preserve"> counted and noted.</w:t>
      </w:r>
    </w:p>
    <w:p w:rsidR="00DB26B7" w:rsidRPr="00FF17C0" w:rsidRDefault="00DB26B7" w:rsidP="00122421">
      <w:pPr>
        <w:pStyle w:val="Style"/>
        <w:spacing w:after="300" w:line="360" w:lineRule="auto"/>
        <w:jc w:val="both"/>
        <w:textAlignment w:val="baseline"/>
        <w:rPr>
          <w:lang w:val="en-GB"/>
        </w:rPr>
      </w:pPr>
      <w:r w:rsidRPr="00FF17C0">
        <w:rPr>
          <w:lang w:val="en-GB"/>
        </w:rPr>
        <w:t>A total of 100 white were counted and reported.</w:t>
      </w:r>
    </w:p>
    <w:p w:rsidR="00DB26B7" w:rsidRPr="00FF17C0" w:rsidRDefault="00DB26B7" w:rsidP="00122421">
      <w:pPr>
        <w:pStyle w:val="Style"/>
        <w:spacing w:before="300" w:after="300" w:line="360" w:lineRule="auto"/>
        <w:jc w:val="both"/>
        <w:textAlignment w:val="baseline"/>
        <w:rPr>
          <w:lang w:val="en-GB"/>
        </w:rPr>
      </w:pPr>
      <w:r w:rsidRPr="00FF17C0">
        <w:rPr>
          <w:b/>
          <w:w w:val="106"/>
          <w:lang w:val="en-GB"/>
        </w:rPr>
        <w:t>Statistical Analysis</w:t>
      </w:r>
    </w:p>
    <w:p w:rsidR="00B81F5E" w:rsidRDefault="00DB26B7" w:rsidP="00B81F5E">
      <w:pPr>
        <w:pStyle w:val="Style"/>
        <w:spacing w:after="300" w:line="360" w:lineRule="auto"/>
        <w:jc w:val="both"/>
        <w:textAlignment w:val="baseline"/>
        <w:rPr>
          <w:lang w:val="en-GB"/>
        </w:rPr>
      </w:pPr>
      <w:r w:rsidRPr="00FF17C0">
        <w:rPr>
          <w:lang w:val="en-GB"/>
        </w:rPr>
        <w:t xml:space="preserve">Data were entered into Microsoft Excel 2010 (Microsoft corporations Inc. USA) and transported to the software package SPSS for window version 20.0 for analysis. Differences between the group means were compared using the student's t-test as well as standard error of the mean for analysis of variances (ANOV A) Statistical significant was set at P </w:t>
      </w:r>
      <w:r w:rsidRPr="00FF17C0">
        <w:rPr>
          <w:rFonts w:eastAsia="Arial"/>
          <w:w w:val="114"/>
          <w:lang w:val="en-GB"/>
        </w:rPr>
        <w:t xml:space="preserve">&lt; </w:t>
      </w:r>
      <w:r w:rsidRPr="00FF17C0">
        <w:rPr>
          <w:lang w:val="en-GB"/>
        </w:rPr>
        <w:t>0.05.</w:t>
      </w:r>
    </w:p>
    <w:p w:rsidR="00DB26B7" w:rsidRPr="00FF17C0" w:rsidRDefault="00DB26B7" w:rsidP="00B81F5E">
      <w:pPr>
        <w:pStyle w:val="Style"/>
        <w:spacing w:after="300" w:line="360" w:lineRule="auto"/>
        <w:jc w:val="both"/>
        <w:textAlignment w:val="baseline"/>
        <w:rPr>
          <w:lang w:val="en-GB"/>
        </w:rPr>
      </w:pPr>
      <w:r w:rsidRPr="00FF17C0">
        <w:rPr>
          <w:b/>
          <w:w w:val="109"/>
          <w:lang w:val="en-GB"/>
        </w:rPr>
        <w:t>RESULTS</w:t>
      </w:r>
    </w:p>
    <w:p w:rsidR="00DB26B7" w:rsidRPr="00FF17C0" w:rsidRDefault="00CA6B65" w:rsidP="00122421">
      <w:pPr>
        <w:pStyle w:val="Style"/>
        <w:spacing w:after="300" w:line="360" w:lineRule="auto"/>
        <w:jc w:val="both"/>
        <w:textAlignment w:val="baseline"/>
        <w:rPr>
          <w:lang w:val="en-GB"/>
        </w:rPr>
      </w:pPr>
      <w:r w:rsidRPr="00FF17C0">
        <w:rPr>
          <w:b/>
          <w:w w:val="109"/>
          <w:lang w:val="en-GB"/>
        </w:rPr>
        <w:t xml:space="preserve">Table </w:t>
      </w:r>
      <w:r w:rsidR="00DB26B7" w:rsidRPr="00FF17C0">
        <w:rPr>
          <w:b/>
          <w:w w:val="109"/>
          <w:lang w:val="en-GB"/>
        </w:rPr>
        <w:t>1</w:t>
      </w:r>
      <w:r w:rsidRPr="00FF17C0">
        <w:rPr>
          <w:b/>
          <w:w w:val="109"/>
          <w:lang w:val="en-GB"/>
        </w:rPr>
        <w:t>: T</w:t>
      </w:r>
      <w:r w:rsidR="00DB26B7" w:rsidRPr="00FF17C0">
        <w:rPr>
          <w:b/>
          <w:w w:val="109"/>
          <w:lang w:val="en-GB"/>
        </w:rPr>
        <w:t>he mean value of Alpha-Fetoprotein level in viral hepatitis patients</w:t>
      </w:r>
    </w:p>
    <w:tbl>
      <w:tblPr>
        <w:tblStyle w:val="TableGrid"/>
        <w:tblW w:w="0" w:type="auto"/>
        <w:tblLook w:val="04A0" w:firstRow="1" w:lastRow="0" w:firstColumn="1" w:lastColumn="0" w:noHBand="0" w:noVBand="1"/>
      </w:tblPr>
      <w:tblGrid>
        <w:gridCol w:w="2114"/>
        <w:gridCol w:w="1662"/>
        <w:gridCol w:w="1656"/>
        <w:gridCol w:w="2012"/>
        <w:gridCol w:w="1799"/>
      </w:tblGrid>
      <w:tr w:rsidR="00DB26B7" w:rsidRPr="00FF17C0" w:rsidTr="002E53BC">
        <w:tc>
          <w:tcPr>
            <w:tcW w:w="1809" w:type="dxa"/>
          </w:tcPr>
          <w:p w:rsidR="00DB26B7" w:rsidRPr="00FF17C0" w:rsidRDefault="00DB26B7" w:rsidP="00122421">
            <w:pPr>
              <w:pStyle w:val="Style"/>
              <w:spacing w:line="360" w:lineRule="auto"/>
              <w:jc w:val="both"/>
              <w:textAlignment w:val="baseline"/>
              <w:rPr>
                <w:lang w:val="en-GB"/>
              </w:rPr>
            </w:pPr>
            <w:r w:rsidRPr="00FF17C0">
              <w:rPr>
                <w:b/>
                <w:w w:val="109"/>
                <w:lang w:val="en-GB"/>
              </w:rPr>
              <w:tab/>
              <w:t xml:space="preserve">Parameter </w:t>
            </w:r>
            <w:r w:rsidRPr="00FF17C0">
              <w:rPr>
                <w:b/>
                <w:w w:val="109"/>
                <w:lang w:val="en-GB"/>
              </w:rPr>
              <w:tab/>
              <w:t xml:space="preserve"> </w:t>
            </w:r>
          </w:p>
        </w:tc>
        <w:tc>
          <w:tcPr>
            <w:tcW w:w="1701" w:type="dxa"/>
          </w:tcPr>
          <w:p w:rsidR="00DB26B7" w:rsidRPr="00FF17C0" w:rsidRDefault="00DB26B7" w:rsidP="00122421">
            <w:pPr>
              <w:pStyle w:val="Style"/>
              <w:spacing w:line="360" w:lineRule="auto"/>
              <w:jc w:val="both"/>
              <w:textAlignment w:val="baseline"/>
              <w:rPr>
                <w:b/>
                <w:w w:val="109"/>
                <w:lang w:val="en-GB"/>
              </w:rPr>
            </w:pPr>
            <w:r w:rsidRPr="00FF17C0">
              <w:rPr>
                <w:b/>
                <w:w w:val="109"/>
                <w:lang w:val="en-GB"/>
              </w:rPr>
              <w:t>Reference range</w:t>
            </w:r>
          </w:p>
        </w:tc>
        <w:tc>
          <w:tcPr>
            <w:tcW w:w="1723" w:type="dxa"/>
          </w:tcPr>
          <w:p w:rsidR="00DB26B7" w:rsidRPr="00FF17C0" w:rsidRDefault="00DB26B7" w:rsidP="00122421">
            <w:pPr>
              <w:pStyle w:val="Style"/>
              <w:spacing w:line="360" w:lineRule="auto"/>
              <w:jc w:val="both"/>
              <w:textAlignment w:val="baseline"/>
              <w:rPr>
                <w:b/>
                <w:w w:val="109"/>
                <w:lang w:val="en-GB"/>
              </w:rPr>
            </w:pPr>
            <w:r w:rsidRPr="00FF17C0">
              <w:rPr>
                <w:b/>
                <w:w w:val="109"/>
                <w:lang w:val="en-GB"/>
              </w:rPr>
              <w:t>Control (n=30)</w:t>
            </w:r>
            <w:r w:rsidRPr="00FF17C0">
              <w:rPr>
                <w:b/>
                <w:w w:val="109"/>
                <w:lang w:val="en-GB"/>
              </w:rPr>
              <w:tab/>
            </w:r>
          </w:p>
        </w:tc>
        <w:tc>
          <w:tcPr>
            <w:tcW w:w="2105" w:type="dxa"/>
          </w:tcPr>
          <w:p w:rsidR="00DB26B7" w:rsidRPr="00FF17C0" w:rsidRDefault="00DB26B7" w:rsidP="00122421">
            <w:pPr>
              <w:pStyle w:val="Style"/>
              <w:spacing w:line="360" w:lineRule="auto"/>
              <w:jc w:val="both"/>
              <w:textAlignment w:val="baseline"/>
              <w:rPr>
                <w:b/>
                <w:w w:val="109"/>
                <w:lang w:val="en-GB"/>
              </w:rPr>
            </w:pPr>
            <w:r w:rsidRPr="00FF17C0">
              <w:rPr>
                <w:b/>
                <w:w w:val="109"/>
                <w:lang w:val="en-GB"/>
              </w:rPr>
              <w:t>Hepatitis patients n=70</w:t>
            </w:r>
            <w:r w:rsidRPr="00FF17C0">
              <w:rPr>
                <w:b/>
                <w:w w:val="109"/>
                <w:lang w:val="en-GB"/>
              </w:rPr>
              <w:tab/>
            </w:r>
          </w:p>
        </w:tc>
        <w:tc>
          <w:tcPr>
            <w:tcW w:w="1905" w:type="dxa"/>
          </w:tcPr>
          <w:p w:rsidR="00DB26B7" w:rsidRPr="00FF17C0" w:rsidRDefault="00DB26B7" w:rsidP="00122421">
            <w:pPr>
              <w:pStyle w:val="Style"/>
              <w:spacing w:line="360" w:lineRule="auto"/>
              <w:jc w:val="both"/>
              <w:textAlignment w:val="baseline"/>
              <w:rPr>
                <w:lang w:val="en-GB"/>
              </w:rPr>
            </w:pPr>
            <w:r w:rsidRPr="00FF17C0">
              <w:rPr>
                <w:b/>
                <w:w w:val="109"/>
                <w:lang w:val="en-GB"/>
              </w:rPr>
              <w:t xml:space="preserve"> P value</w:t>
            </w:r>
          </w:p>
        </w:tc>
      </w:tr>
      <w:tr w:rsidR="00DB26B7" w:rsidRPr="00FF17C0" w:rsidTr="002E53BC">
        <w:tc>
          <w:tcPr>
            <w:tcW w:w="1809" w:type="dxa"/>
          </w:tcPr>
          <w:p w:rsidR="00DB26B7" w:rsidRPr="00FF17C0" w:rsidRDefault="00DB26B7" w:rsidP="00122421">
            <w:pPr>
              <w:pStyle w:val="Style"/>
              <w:spacing w:line="360" w:lineRule="auto"/>
              <w:jc w:val="both"/>
              <w:textAlignment w:val="baseline"/>
              <w:rPr>
                <w:lang w:val="en-GB"/>
              </w:rPr>
            </w:pPr>
            <w:r w:rsidRPr="00FF17C0">
              <w:rPr>
                <w:lang w:val="en-GB"/>
              </w:rPr>
              <w:t>Alpha-Feto Protein</w:t>
            </w:r>
            <w:r w:rsidRPr="00FF17C0">
              <w:rPr>
                <w:lang w:val="en-GB"/>
              </w:rPr>
              <w:tab/>
              <w:t xml:space="preserve"> </w:t>
            </w:r>
          </w:p>
        </w:tc>
        <w:tc>
          <w:tcPr>
            <w:tcW w:w="1701" w:type="dxa"/>
          </w:tcPr>
          <w:p w:rsidR="00DB26B7" w:rsidRPr="00FF17C0" w:rsidRDefault="00DB26B7" w:rsidP="00122421">
            <w:pPr>
              <w:pStyle w:val="Style"/>
              <w:spacing w:line="360" w:lineRule="auto"/>
              <w:jc w:val="both"/>
              <w:textAlignment w:val="baseline"/>
              <w:rPr>
                <w:lang w:val="en-GB"/>
              </w:rPr>
            </w:pPr>
            <w:r w:rsidRPr="00FF17C0">
              <w:rPr>
                <w:lang w:val="en-GB"/>
              </w:rPr>
              <w:t xml:space="preserve">&lt;8.5nglml </w:t>
            </w:r>
            <w:r w:rsidRPr="00FF17C0">
              <w:rPr>
                <w:lang w:val="en-GB"/>
              </w:rPr>
              <w:tab/>
            </w:r>
          </w:p>
        </w:tc>
        <w:tc>
          <w:tcPr>
            <w:tcW w:w="1723" w:type="dxa"/>
          </w:tcPr>
          <w:p w:rsidR="00DB26B7" w:rsidRPr="00FF17C0" w:rsidRDefault="00DB26B7" w:rsidP="00122421">
            <w:pPr>
              <w:pStyle w:val="Style"/>
              <w:spacing w:line="360" w:lineRule="auto"/>
              <w:jc w:val="both"/>
              <w:textAlignment w:val="baseline"/>
              <w:rPr>
                <w:lang w:val="en-GB"/>
              </w:rPr>
            </w:pPr>
            <w:r w:rsidRPr="00FF17C0">
              <w:rPr>
                <w:lang w:val="en-GB"/>
              </w:rPr>
              <w:t xml:space="preserve">4.00 </w:t>
            </w:r>
            <w:r w:rsidRPr="00FF17C0">
              <w:rPr>
                <w:rFonts w:eastAsia="Arial"/>
                <w:w w:val="134"/>
                <w:lang w:val="en-GB"/>
              </w:rPr>
              <w:t xml:space="preserve">± </w:t>
            </w:r>
            <w:r w:rsidRPr="00FF17C0">
              <w:rPr>
                <w:lang w:val="en-GB"/>
              </w:rPr>
              <w:t xml:space="preserve">0.12 </w:t>
            </w:r>
            <w:r w:rsidRPr="00FF17C0">
              <w:rPr>
                <w:lang w:val="en-GB"/>
              </w:rPr>
              <w:tab/>
            </w:r>
          </w:p>
        </w:tc>
        <w:tc>
          <w:tcPr>
            <w:tcW w:w="2105" w:type="dxa"/>
          </w:tcPr>
          <w:p w:rsidR="00DB26B7" w:rsidRPr="00FF17C0" w:rsidRDefault="00DB26B7" w:rsidP="00122421">
            <w:pPr>
              <w:pStyle w:val="Style"/>
              <w:spacing w:line="360" w:lineRule="auto"/>
              <w:jc w:val="both"/>
              <w:textAlignment w:val="baseline"/>
              <w:rPr>
                <w:lang w:val="en-GB"/>
              </w:rPr>
            </w:pPr>
            <w:r w:rsidRPr="00FF17C0">
              <w:rPr>
                <w:lang w:val="en-GB"/>
              </w:rPr>
              <w:t xml:space="preserve">6.42 </w:t>
            </w:r>
            <w:r w:rsidRPr="00FF17C0">
              <w:rPr>
                <w:rFonts w:eastAsia="Arial"/>
                <w:w w:val="134"/>
                <w:lang w:val="en-GB"/>
              </w:rPr>
              <w:t xml:space="preserve">± </w:t>
            </w:r>
            <w:r w:rsidRPr="00FF17C0">
              <w:rPr>
                <w:lang w:val="en-GB"/>
              </w:rPr>
              <w:t xml:space="preserve">0.15 </w:t>
            </w:r>
            <w:r w:rsidRPr="00FF17C0">
              <w:rPr>
                <w:lang w:val="en-GB"/>
              </w:rPr>
              <w:tab/>
            </w:r>
          </w:p>
        </w:tc>
        <w:tc>
          <w:tcPr>
            <w:tcW w:w="1905" w:type="dxa"/>
          </w:tcPr>
          <w:p w:rsidR="00DB26B7" w:rsidRPr="00FF17C0" w:rsidRDefault="00DB26B7" w:rsidP="00122421">
            <w:pPr>
              <w:pStyle w:val="Style"/>
              <w:spacing w:line="360" w:lineRule="auto"/>
              <w:jc w:val="both"/>
              <w:textAlignment w:val="baseline"/>
              <w:rPr>
                <w:lang w:val="en-GB"/>
              </w:rPr>
            </w:pPr>
            <w:r w:rsidRPr="00FF17C0">
              <w:rPr>
                <w:lang w:val="en-GB"/>
              </w:rPr>
              <w:t>P&lt;0.05</w:t>
            </w:r>
          </w:p>
        </w:tc>
      </w:tr>
    </w:tbl>
    <w:p w:rsidR="00DB26B7" w:rsidRPr="00FF17C0" w:rsidRDefault="00DB26B7" w:rsidP="00122421">
      <w:pPr>
        <w:pStyle w:val="Style"/>
        <w:spacing w:line="360" w:lineRule="auto"/>
        <w:jc w:val="both"/>
        <w:textAlignment w:val="baseline"/>
        <w:rPr>
          <w:lang w:val="en-GB"/>
        </w:rPr>
      </w:pP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lastRenderedPageBreak/>
        <w:t xml:space="preserve">The result showed that there is significant difference in Alpha-Fetoprotein (6.42 </w:t>
      </w:r>
      <w:r w:rsidRPr="00B81F5E">
        <w:rPr>
          <w:rFonts w:ascii="Times New Roman" w:eastAsia="Arial" w:hAnsi="Times New Roman" w:cs="Times New Roman"/>
          <w:w w:val="134"/>
          <w:sz w:val="24"/>
          <w:szCs w:val="24"/>
          <w:lang w:val="en-GB"/>
        </w:rPr>
        <w:t xml:space="preserve">± </w:t>
      </w:r>
      <w:r w:rsidRPr="00B81F5E">
        <w:rPr>
          <w:rFonts w:ascii="Times New Roman" w:hAnsi="Times New Roman" w:cs="Times New Roman"/>
          <w:sz w:val="24"/>
          <w:szCs w:val="24"/>
          <w:lang w:val="en-GB"/>
        </w:rPr>
        <w:t xml:space="preserve">0.15) compared to the non-patients (4.00 </w:t>
      </w:r>
      <w:r w:rsidRPr="00B81F5E">
        <w:rPr>
          <w:rFonts w:ascii="Times New Roman" w:eastAsia="Arial" w:hAnsi="Times New Roman" w:cs="Times New Roman"/>
          <w:w w:val="134"/>
          <w:sz w:val="24"/>
          <w:szCs w:val="24"/>
          <w:lang w:val="en-GB"/>
        </w:rPr>
        <w:t xml:space="preserve">± </w:t>
      </w:r>
      <w:r w:rsidRPr="00B81F5E">
        <w:rPr>
          <w:rFonts w:ascii="Times New Roman" w:hAnsi="Times New Roman" w:cs="Times New Roman"/>
          <w:sz w:val="24"/>
          <w:szCs w:val="24"/>
          <w:lang w:val="en-GB"/>
        </w:rPr>
        <w:t>0.12) in the viral hepatitis patients.</w:t>
      </w:r>
    </w:p>
    <w:p w:rsidR="00B81F5E" w:rsidRPr="00B81F5E" w:rsidRDefault="00B81F5E" w:rsidP="00B81F5E">
      <w:pPr>
        <w:spacing w:line="360" w:lineRule="auto"/>
        <w:jc w:val="both"/>
        <w:rPr>
          <w:rFonts w:ascii="Times New Roman" w:hAnsi="Times New Roman" w:cs="Times New Roman"/>
          <w:sz w:val="24"/>
          <w:szCs w:val="24"/>
          <w:lang w:val="en-GB"/>
        </w:rPr>
        <w:sectPr w:rsidR="00B81F5E" w:rsidRPr="00B81F5E" w:rsidSect="00FD51CD">
          <w:footerReference w:type="default" r:id="rId11"/>
          <w:type w:val="continuous"/>
          <w:pgSz w:w="11907" w:h="16839" w:code="9"/>
          <w:pgMar w:top="1440" w:right="1440" w:bottom="1440" w:left="1440" w:header="708" w:footer="708" w:gutter="0"/>
          <w:pgNumType w:start="48"/>
          <w:cols w:space="708"/>
          <w:docGrid w:linePitch="31680"/>
        </w:sectPr>
      </w:pPr>
    </w:p>
    <w:p w:rsidR="00DB26B7" w:rsidRDefault="00CA6B65"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b/>
          <w:w w:val="107"/>
          <w:sz w:val="24"/>
          <w:szCs w:val="24"/>
          <w:lang w:val="en-GB"/>
        </w:rPr>
        <w:lastRenderedPageBreak/>
        <w:t xml:space="preserve">Table </w:t>
      </w:r>
      <w:r w:rsidR="00DB26B7" w:rsidRPr="00B81F5E">
        <w:rPr>
          <w:rFonts w:ascii="Times New Roman" w:hAnsi="Times New Roman" w:cs="Times New Roman"/>
          <w:b/>
          <w:w w:val="107"/>
          <w:sz w:val="24"/>
          <w:szCs w:val="24"/>
          <w:lang w:val="en-GB"/>
        </w:rPr>
        <w:t>2</w:t>
      </w:r>
      <w:r w:rsidRPr="00B81F5E">
        <w:rPr>
          <w:rFonts w:ascii="Times New Roman" w:hAnsi="Times New Roman" w:cs="Times New Roman"/>
          <w:b/>
          <w:w w:val="107"/>
          <w:sz w:val="24"/>
          <w:szCs w:val="24"/>
          <w:lang w:val="en-GB"/>
        </w:rPr>
        <w:t>;</w:t>
      </w:r>
      <w:r w:rsidR="00DB26B7" w:rsidRPr="00B81F5E">
        <w:rPr>
          <w:rFonts w:ascii="Times New Roman" w:hAnsi="Times New Roman" w:cs="Times New Roman"/>
          <w:b/>
          <w:w w:val="107"/>
          <w:sz w:val="24"/>
          <w:szCs w:val="24"/>
          <w:lang w:val="en-GB"/>
        </w:rPr>
        <w:t xml:space="preserve"> comparison of mean value of Erythrocytes sediments rate and leucocytes count</w:t>
      </w:r>
    </w:p>
    <w:p w:rsidR="00897525" w:rsidRPr="00B81F5E" w:rsidRDefault="00897525" w:rsidP="00B81F5E">
      <w:pPr>
        <w:spacing w:line="360" w:lineRule="auto"/>
        <w:jc w:val="both"/>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350"/>
        <w:gridCol w:w="3514"/>
      </w:tblGrid>
      <w:tr w:rsidR="00DB26B7" w:rsidRPr="00B81F5E" w:rsidTr="002E53BC">
        <w:trPr>
          <w:trHeight w:val="624"/>
          <w:jc w:val="center"/>
        </w:trPr>
        <w:tc>
          <w:tcPr>
            <w:tcW w:w="2343" w:type="dxa"/>
            <w:tcBorders>
              <w:bottom w:val="single" w:sz="4" w:space="0" w:color="auto"/>
            </w:tcBorders>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b/>
                <w:w w:val="107"/>
                <w:sz w:val="24"/>
                <w:szCs w:val="24"/>
                <w:lang w:val="en-GB"/>
              </w:rPr>
              <w:t>Parameters</w:t>
            </w:r>
          </w:p>
        </w:tc>
        <w:tc>
          <w:tcPr>
            <w:tcW w:w="2350" w:type="dxa"/>
            <w:tcBorders>
              <w:bottom w:val="single" w:sz="4" w:space="0" w:color="auto"/>
            </w:tcBorders>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b/>
                <w:w w:val="107"/>
                <w:sz w:val="24"/>
                <w:szCs w:val="24"/>
                <w:lang w:val="en-GB"/>
              </w:rPr>
              <w:t>Control N=30</w:t>
            </w:r>
          </w:p>
        </w:tc>
        <w:tc>
          <w:tcPr>
            <w:tcW w:w="3514" w:type="dxa"/>
            <w:tcBorders>
              <w:bottom w:val="single" w:sz="4" w:space="0" w:color="auto"/>
            </w:tcBorders>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b/>
                <w:w w:val="107"/>
                <w:sz w:val="24"/>
                <w:szCs w:val="24"/>
                <w:lang w:val="en-GB"/>
              </w:rPr>
              <w:t>Hepatitis patients N=70</w:t>
            </w:r>
          </w:p>
        </w:tc>
      </w:tr>
      <w:tr w:rsidR="00DB26B7" w:rsidRPr="00B81F5E" w:rsidTr="002E53BC">
        <w:trPr>
          <w:trHeight w:val="624"/>
          <w:jc w:val="center"/>
        </w:trPr>
        <w:tc>
          <w:tcPr>
            <w:tcW w:w="2343" w:type="dxa"/>
            <w:vAlign w:val="center"/>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sz w:val="24"/>
                <w:szCs w:val="24"/>
                <w:lang w:val="en-GB"/>
              </w:rPr>
              <w:t>ESR mm/hr</w:t>
            </w:r>
          </w:p>
        </w:tc>
        <w:tc>
          <w:tcPr>
            <w:tcW w:w="2350" w:type="dxa"/>
            <w:vAlign w:val="center"/>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sz w:val="24"/>
                <w:szCs w:val="24"/>
                <w:lang w:val="en-GB"/>
              </w:rPr>
              <w:t>5.70±0.19</w:t>
            </w:r>
          </w:p>
        </w:tc>
        <w:tc>
          <w:tcPr>
            <w:tcW w:w="3514" w:type="dxa"/>
            <w:vAlign w:val="center"/>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sz w:val="24"/>
                <w:szCs w:val="24"/>
                <w:lang w:val="en-GB"/>
              </w:rPr>
              <w:t>16.8±0.88</w:t>
            </w:r>
          </w:p>
        </w:tc>
      </w:tr>
      <w:tr w:rsidR="00DB26B7" w:rsidRPr="00B81F5E" w:rsidTr="002E53BC">
        <w:trPr>
          <w:trHeight w:val="624"/>
          <w:jc w:val="center"/>
        </w:trPr>
        <w:tc>
          <w:tcPr>
            <w:tcW w:w="2343"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WBC x 10</w:t>
            </w:r>
            <w:r w:rsidRPr="00B81F5E">
              <w:rPr>
                <w:rFonts w:ascii="Times New Roman" w:hAnsi="Times New Roman" w:cs="Times New Roman"/>
                <w:sz w:val="24"/>
                <w:szCs w:val="24"/>
                <w:vertAlign w:val="superscript"/>
                <w:lang w:val="en-GB"/>
              </w:rPr>
              <w:t>9</w:t>
            </w:r>
            <w:r w:rsidRPr="00B81F5E">
              <w:rPr>
                <w:rFonts w:ascii="Times New Roman" w:hAnsi="Times New Roman" w:cs="Times New Roman"/>
                <w:sz w:val="24"/>
                <w:szCs w:val="24"/>
                <w:lang w:val="en-GB"/>
              </w:rPr>
              <w:t>/1</w:t>
            </w:r>
          </w:p>
        </w:tc>
        <w:tc>
          <w:tcPr>
            <w:tcW w:w="2350"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4.81 ± 0.29</w:t>
            </w:r>
          </w:p>
        </w:tc>
        <w:tc>
          <w:tcPr>
            <w:tcW w:w="3514" w:type="dxa"/>
            <w:vAlign w:val="center"/>
          </w:tcPr>
          <w:p w:rsidR="00DB26B7" w:rsidRPr="00B81F5E" w:rsidRDefault="00DB26B7" w:rsidP="00B81F5E">
            <w:pPr>
              <w:spacing w:line="360" w:lineRule="auto"/>
              <w:jc w:val="both"/>
              <w:rPr>
                <w:rFonts w:ascii="Times New Roman" w:hAnsi="Times New Roman" w:cs="Times New Roman"/>
                <w:b/>
                <w:w w:val="107"/>
                <w:sz w:val="24"/>
                <w:szCs w:val="24"/>
                <w:lang w:val="en-GB"/>
              </w:rPr>
            </w:pPr>
            <w:r w:rsidRPr="00B81F5E">
              <w:rPr>
                <w:rFonts w:ascii="Times New Roman" w:hAnsi="Times New Roman" w:cs="Times New Roman"/>
                <w:sz w:val="24"/>
                <w:szCs w:val="24"/>
                <w:lang w:val="en-GB"/>
              </w:rPr>
              <w:t xml:space="preserve">9.87 ± 0.33 </w:t>
            </w:r>
          </w:p>
        </w:tc>
      </w:tr>
      <w:tr w:rsidR="00DB26B7" w:rsidRPr="00B81F5E" w:rsidTr="002E53BC">
        <w:trPr>
          <w:trHeight w:val="624"/>
          <w:jc w:val="center"/>
        </w:trPr>
        <w:tc>
          <w:tcPr>
            <w:tcW w:w="2343"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Neu x 10</w:t>
            </w:r>
            <w:r w:rsidRPr="00B81F5E">
              <w:rPr>
                <w:rFonts w:ascii="Times New Roman" w:eastAsia="Arial" w:hAnsi="Times New Roman" w:cs="Times New Roman"/>
                <w:w w:val="108"/>
                <w:sz w:val="24"/>
                <w:szCs w:val="24"/>
                <w:vertAlign w:val="superscript"/>
                <w:lang w:val="en-GB"/>
              </w:rPr>
              <w:t>9</w:t>
            </w:r>
            <w:r w:rsidRPr="00B81F5E">
              <w:rPr>
                <w:rFonts w:ascii="Times New Roman" w:hAnsi="Times New Roman" w:cs="Times New Roman"/>
                <w:sz w:val="24"/>
                <w:szCs w:val="24"/>
                <w:lang w:val="en-GB"/>
              </w:rPr>
              <w:t>/1</w:t>
            </w:r>
          </w:p>
        </w:tc>
        <w:tc>
          <w:tcPr>
            <w:tcW w:w="2350"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45.72 ± 0.64</w:t>
            </w:r>
          </w:p>
        </w:tc>
        <w:tc>
          <w:tcPr>
            <w:tcW w:w="3514"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 xml:space="preserve">35.01 ± 0.12 </w:t>
            </w:r>
          </w:p>
        </w:tc>
      </w:tr>
      <w:tr w:rsidR="00DB26B7" w:rsidRPr="00B81F5E" w:rsidTr="002E53BC">
        <w:trPr>
          <w:trHeight w:val="624"/>
          <w:jc w:val="center"/>
        </w:trPr>
        <w:tc>
          <w:tcPr>
            <w:tcW w:w="2343"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Lymp x 10</w:t>
            </w:r>
            <w:r w:rsidRPr="00B81F5E">
              <w:rPr>
                <w:rFonts w:ascii="Times New Roman" w:hAnsi="Times New Roman" w:cs="Times New Roman"/>
                <w:sz w:val="24"/>
                <w:szCs w:val="24"/>
                <w:vertAlign w:val="superscript"/>
                <w:lang w:val="en-GB"/>
              </w:rPr>
              <w:t>9</w:t>
            </w:r>
            <w:r w:rsidRPr="00B81F5E">
              <w:rPr>
                <w:rFonts w:ascii="Times New Roman" w:hAnsi="Times New Roman" w:cs="Times New Roman"/>
                <w:sz w:val="24"/>
                <w:szCs w:val="24"/>
                <w:lang w:val="en-GB"/>
              </w:rPr>
              <w:t>/1</w:t>
            </w:r>
          </w:p>
        </w:tc>
        <w:tc>
          <w:tcPr>
            <w:tcW w:w="2350"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41.94 ± 0.73</w:t>
            </w:r>
          </w:p>
        </w:tc>
        <w:tc>
          <w:tcPr>
            <w:tcW w:w="3514"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 xml:space="preserve">47.63 ± 0.15 </w:t>
            </w:r>
          </w:p>
        </w:tc>
      </w:tr>
      <w:tr w:rsidR="00DB26B7" w:rsidRPr="00B81F5E" w:rsidTr="002E53BC">
        <w:trPr>
          <w:trHeight w:val="624"/>
          <w:jc w:val="center"/>
        </w:trPr>
        <w:tc>
          <w:tcPr>
            <w:tcW w:w="2343"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 xml:space="preserve">Eosino </w:t>
            </w:r>
            <w:r w:rsidRPr="00B81F5E">
              <w:rPr>
                <w:rFonts w:ascii="Times New Roman" w:eastAsia="Arial" w:hAnsi="Times New Roman" w:cs="Times New Roman"/>
                <w:w w:val="124"/>
                <w:sz w:val="24"/>
                <w:szCs w:val="24"/>
                <w:lang w:val="en-GB"/>
              </w:rPr>
              <w:t>x 1</w:t>
            </w:r>
            <w:r w:rsidRPr="00B81F5E">
              <w:rPr>
                <w:rFonts w:ascii="Times New Roman" w:hAnsi="Times New Roman" w:cs="Times New Roman"/>
                <w:sz w:val="24"/>
                <w:szCs w:val="24"/>
                <w:lang w:val="en-GB"/>
              </w:rPr>
              <w:t>0</w:t>
            </w:r>
            <w:r w:rsidRPr="00B81F5E">
              <w:rPr>
                <w:rFonts w:ascii="Times New Roman" w:hAnsi="Times New Roman" w:cs="Times New Roman"/>
                <w:w w:val="116"/>
                <w:sz w:val="24"/>
                <w:szCs w:val="24"/>
                <w:vertAlign w:val="superscript"/>
                <w:lang w:val="en-GB"/>
              </w:rPr>
              <w:t>9</w:t>
            </w:r>
            <w:r w:rsidRPr="00B81F5E">
              <w:rPr>
                <w:rFonts w:ascii="Times New Roman" w:hAnsi="Times New Roman" w:cs="Times New Roman"/>
                <w:sz w:val="24"/>
                <w:szCs w:val="24"/>
                <w:lang w:val="en-GB"/>
              </w:rPr>
              <w:t>/1</w:t>
            </w:r>
          </w:p>
        </w:tc>
        <w:tc>
          <w:tcPr>
            <w:tcW w:w="2350"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1.94 ± 0.65</w:t>
            </w:r>
          </w:p>
        </w:tc>
        <w:tc>
          <w:tcPr>
            <w:tcW w:w="3514"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 xml:space="preserve">2.55 ± 0.25 </w:t>
            </w:r>
          </w:p>
        </w:tc>
      </w:tr>
      <w:tr w:rsidR="00DB26B7" w:rsidRPr="00B81F5E" w:rsidTr="002E53BC">
        <w:trPr>
          <w:trHeight w:val="624"/>
          <w:jc w:val="center"/>
        </w:trPr>
        <w:tc>
          <w:tcPr>
            <w:tcW w:w="2343"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Monox 10</w:t>
            </w:r>
            <w:r w:rsidRPr="00B81F5E">
              <w:rPr>
                <w:rFonts w:ascii="Times New Roman" w:eastAsia="Arial" w:hAnsi="Times New Roman" w:cs="Times New Roman"/>
                <w:w w:val="112"/>
                <w:sz w:val="24"/>
                <w:szCs w:val="24"/>
                <w:vertAlign w:val="superscript"/>
                <w:lang w:val="en-GB"/>
              </w:rPr>
              <w:t>9</w:t>
            </w:r>
            <w:r w:rsidRPr="00B81F5E">
              <w:rPr>
                <w:rFonts w:ascii="Times New Roman" w:hAnsi="Times New Roman" w:cs="Times New Roman"/>
                <w:sz w:val="24"/>
                <w:szCs w:val="24"/>
                <w:lang w:val="en-GB"/>
              </w:rPr>
              <w:t>/1</w:t>
            </w:r>
          </w:p>
        </w:tc>
        <w:tc>
          <w:tcPr>
            <w:tcW w:w="2350"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1.80 ± 0.03</w:t>
            </w:r>
          </w:p>
        </w:tc>
        <w:tc>
          <w:tcPr>
            <w:tcW w:w="3514" w:type="dxa"/>
            <w:vAlign w:val="center"/>
          </w:tcPr>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 xml:space="preserve">2.76 ± 0.50 </w:t>
            </w:r>
          </w:p>
        </w:tc>
      </w:tr>
    </w:tbl>
    <w:p w:rsidR="00897525" w:rsidRDefault="00897525" w:rsidP="00897525">
      <w:pPr>
        <w:spacing w:line="360" w:lineRule="auto"/>
        <w:ind w:firstLine="708"/>
        <w:jc w:val="both"/>
        <w:rPr>
          <w:rFonts w:ascii="Times New Roman" w:hAnsi="Times New Roman" w:cs="Times New Roman"/>
          <w:b/>
          <w:i/>
          <w:iCs/>
          <w:sz w:val="24"/>
          <w:szCs w:val="24"/>
          <w:lang w:val="en-GB"/>
        </w:rPr>
      </w:pPr>
    </w:p>
    <w:p w:rsidR="00DB26B7" w:rsidRPr="00B81F5E" w:rsidRDefault="00DB26B7" w:rsidP="00897525">
      <w:pPr>
        <w:spacing w:line="360" w:lineRule="auto"/>
        <w:ind w:firstLine="708"/>
        <w:jc w:val="both"/>
        <w:rPr>
          <w:rFonts w:ascii="Times New Roman" w:hAnsi="Times New Roman" w:cs="Times New Roman"/>
          <w:sz w:val="24"/>
          <w:szCs w:val="24"/>
          <w:lang w:val="en-GB"/>
        </w:rPr>
      </w:pPr>
      <w:r w:rsidRPr="00B81F5E">
        <w:rPr>
          <w:rFonts w:ascii="Times New Roman" w:hAnsi="Times New Roman" w:cs="Times New Roman"/>
          <w:b/>
          <w:i/>
          <w:iCs/>
          <w:sz w:val="24"/>
          <w:szCs w:val="24"/>
          <w:lang w:val="en-GB"/>
        </w:rPr>
        <w:t>Key</w:t>
      </w:r>
      <w:r w:rsidRPr="00B81F5E">
        <w:rPr>
          <w:rFonts w:ascii="Times New Roman" w:hAnsi="Times New Roman" w:cs="Times New Roman"/>
          <w:i/>
          <w:iCs/>
          <w:sz w:val="24"/>
          <w:szCs w:val="24"/>
          <w:lang w:val="en-GB"/>
        </w:rPr>
        <w:t>:</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WBC - </w:t>
      </w:r>
      <w:r w:rsidRPr="00B81F5E">
        <w:rPr>
          <w:rFonts w:ascii="Times New Roman" w:hAnsi="Times New Roman" w:cs="Times New Roman"/>
          <w:sz w:val="24"/>
          <w:szCs w:val="24"/>
          <w:lang w:val="en-GB"/>
        </w:rPr>
        <w:tab/>
        <w:t xml:space="preserve">White Blood Cell </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PCW - </w:t>
      </w:r>
      <w:r w:rsidRPr="00B81F5E">
        <w:rPr>
          <w:rFonts w:ascii="Times New Roman" w:hAnsi="Times New Roman" w:cs="Times New Roman"/>
          <w:sz w:val="24"/>
          <w:szCs w:val="24"/>
          <w:lang w:val="en-GB"/>
        </w:rPr>
        <w:tab/>
        <w:t xml:space="preserve">Packed Cell Volume </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ESR - </w:t>
      </w:r>
      <w:r w:rsidRPr="00B81F5E">
        <w:rPr>
          <w:rFonts w:ascii="Times New Roman" w:hAnsi="Times New Roman" w:cs="Times New Roman"/>
          <w:sz w:val="24"/>
          <w:szCs w:val="24"/>
          <w:lang w:val="en-GB"/>
        </w:rPr>
        <w:tab/>
        <w:t xml:space="preserve">Erythrocytes Sedimentation rate </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NED - </w:t>
      </w:r>
      <w:r w:rsidRPr="00B81F5E">
        <w:rPr>
          <w:rFonts w:ascii="Times New Roman" w:hAnsi="Times New Roman" w:cs="Times New Roman"/>
          <w:sz w:val="24"/>
          <w:szCs w:val="24"/>
          <w:lang w:val="en-GB"/>
        </w:rPr>
        <w:tab/>
        <w:t xml:space="preserve">Neutrophil </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LMY - </w:t>
      </w:r>
      <w:r w:rsidRPr="00B81F5E">
        <w:rPr>
          <w:rFonts w:ascii="Times New Roman" w:hAnsi="Times New Roman" w:cs="Times New Roman"/>
          <w:sz w:val="24"/>
          <w:szCs w:val="24"/>
          <w:lang w:val="en-GB"/>
        </w:rPr>
        <w:tab/>
        <w:t xml:space="preserve">Lmyphocyte </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EOSIN- </w:t>
      </w:r>
      <w:r w:rsidRPr="00B81F5E">
        <w:rPr>
          <w:rFonts w:ascii="Times New Roman" w:hAnsi="Times New Roman" w:cs="Times New Roman"/>
          <w:sz w:val="24"/>
          <w:szCs w:val="24"/>
          <w:lang w:val="en-GB"/>
        </w:rPr>
        <w:tab/>
        <w:t xml:space="preserve">Eosinophil </w:t>
      </w: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ab/>
        <w:t xml:space="preserve">MONO- </w:t>
      </w:r>
      <w:r w:rsidRPr="00B81F5E">
        <w:rPr>
          <w:rFonts w:ascii="Times New Roman" w:hAnsi="Times New Roman" w:cs="Times New Roman"/>
          <w:sz w:val="24"/>
          <w:szCs w:val="24"/>
          <w:lang w:val="en-GB"/>
        </w:rPr>
        <w:tab/>
        <w:t xml:space="preserve">Monocyte </w:t>
      </w:r>
    </w:p>
    <w:p w:rsidR="00DB26B7" w:rsidRDefault="00CA6B65"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sz w:val="24"/>
          <w:szCs w:val="24"/>
          <w:lang w:val="en-GB"/>
        </w:rPr>
        <w:t xml:space="preserve">Table </w:t>
      </w:r>
      <w:r w:rsidR="00DB26B7" w:rsidRPr="00B81F5E">
        <w:rPr>
          <w:rFonts w:ascii="Times New Roman" w:hAnsi="Times New Roman" w:cs="Times New Roman"/>
          <w:sz w:val="24"/>
          <w:szCs w:val="24"/>
          <w:lang w:val="en-GB"/>
        </w:rPr>
        <w:t xml:space="preserve">2 showed a comparison of ESR, PCV and Leucocytes count of viral hepatitis patients with the non-hepatitis patients. The result showed that there is significant difference in ESR (16.8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0.88) and (5.70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0.19) compared to non</w:t>
      </w:r>
      <w:r w:rsidR="00DB26B7" w:rsidRPr="00B81F5E">
        <w:rPr>
          <w:rFonts w:ascii="Times New Roman" w:hAnsi="Times New Roman" w:cs="Times New Roman"/>
          <w:sz w:val="24"/>
          <w:szCs w:val="24"/>
          <w:lang w:val="en-GB"/>
        </w:rPr>
        <w:softHyphen/>
        <w:t xml:space="preserve">hepatitis patients. Leucocytes count (9.87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0.33) and (4.81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0.29) and were (2.86 </w:t>
      </w:r>
      <w:r w:rsidR="00DB26B7" w:rsidRPr="00B81F5E">
        <w:rPr>
          <w:rFonts w:ascii="Times New Roman" w:hAnsi="Times New Roman" w:cs="Times New Roman"/>
          <w:w w:val="112"/>
          <w:sz w:val="24"/>
          <w:szCs w:val="24"/>
          <w:lang w:val="en-GB"/>
        </w:rPr>
        <w:t xml:space="preserve">± </w:t>
      </w:r>
      <w:r w:rsidR="00DB26B7" w:rsidRPr="00B81F5E">
        <w:rPr>
          <w:rFonts w:ascii="Times New Roman" w:hAnsi="Times New Roman" w:cs="Times New Roman"/>
          <w:sz w:val="24"/>
          <w:szCs w:val="24"/>
          <w:lang w:val="en-GB"/>
        </w:rPr>
        <w:t xml:space="preserve">3.41) and (3.51 </w:t>
      </w:r>
      <w:r w:rsidR="00DB26B7" w:rsidRPr="00B81F5E">
        <w:rPr>
          <w:rFonts w:ascii="Times New Roman" w:hAnsi="Times New Roman" w:cs="Times New Roman"/>
          <w:w w:val="112"/>
          <w:sz w:val="24"/>
          <w:szCs w:val="24"/>
          <w:lang w:val="en-GB"/>
        </w:rPr>
        <w:t xml:space="preserve">± </w:t>
      </w:r>
      <w:r w:rsidR="00DB26B7" w:rsidRPr="00B81F5E">
        <w:rPr>
          <w:rFonts w:ascii="Times New Roman" w:hAnsi="Times New Roman" w:cs="Times New Roman"/>
          <w:sz w:val="24"/>
          <w:szCs w:val="24"/>
          <w:lang w:val="en-GB"/>
        </w:rPr>
        <w:t xml:space="preserve">0.33) high compared to the non-hepatitis patients. Similarly, the lymphocytes, monocytes and eosinophils level (47.63 </w:t>
      </w:r>
      <w:r w:rsidR="00DB26B7" w:rsidRPr="00B81F5E">
        <w:rPr>
          <w:rFonts w:ascii="Times New Roman" w:eastAsia="Arial" w:hAnsi="Times New Roman" w:cs="Times New Roman"/>
          <w:w w:val="141"/>
          <w:sz w:val="24"/>
          <w:szCs w:val="24"/>
          <w:lang w:val="en-GB"/>
        </w:rPr>
        <w:t xml:space="preserve">± </w:t>
      </w:r>
      <w:r w:rsidR="00DB26B7" w:rsidRPr="00B81F5E">
        <w:rPr>
          <w:rFonts w:ascii="Times New Roman" w:hAnsi="Times New Roman" w:cs="Times New Roman"/>
          <w:sz w:val="24"/>
          <w:szCs w:val="24"/>
          <w:lang w:val="en-GB"/>
        </w:rPr>
        <w:t xml:space="preserve">0.15), (2.55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0.25) and (2.76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0.50) were higher in viral hepatitis patients compared to the </w:t>
      </w:r>
      <w:r w:rsidR="00DB26B7" w:rsidRPr="00B81F5E">
        <w:rPr>
          <w:rFonts w:ascii="Times New Roman" w:hAnsi="Times New Roman" w:cs="Times New Roman"/>
          <w:sz w:val="24"/>
          <w:szCs w:val="24"/>
          <w:lang w:val="en-GB"/>
        </w:rPr>
        <w:lastRenderedPageBreak/>
        <w:t xml:space="preserve">non-hepatitis patients (41.94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0.73), (1.80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0.03) and (2.55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0.25) respectively. Neutrophils which is lower in viral hepatitis patients compared to the non-viral hepatitis patients (35.01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 xml:space="preserve">0.12) and (45.72 </w:t>
      </w:r>
      <w:r w:rsidR="00DB26B7" w:rsidRPr="00B81F5E">
        <w:rPr>
          <w:rFonts w:ascii="Times New Roman" w:eastAsia="Arial" w:hAnsi="Times New Roman" w:cs="Times New Roman"/>
          <w:w w:val="134"/>
          <w:sz w:val="24"/>
          <w:szCs w:val="24"/>
          <w:lang w:val="en-GB"/>
        </w:rPr>
        <w:t xml:space="preserve">± </w:t>
      </w:r>
      <w:r w:rsidR="00DB26B7" w:rsidRPr="00B81F5E">
        <w:rPr>
          <w:rFonts w:ascii="Times New Roman" w:hAnsi="Times New Roman" w:cs="Times New Roman"/>
          <w:sz w:val="24"/>
          <w:szCs w:val="24"/>
          <w:lang w:val="en-GB"/>
        </w:rPr>
        <w:t>0.64).</w:t>
      </w:r>
    </w:p>
    <w:p w:rsidR="00E354E6" w:rsidRPr="00B81F5E" w:rsidRDefault="00E354E6" w:rsidP="00B81F5E">
      <w:pPr>
        <w:spacing w:line="360" w:lineRule="auto"/>
        <w:jc w:val="both"/>
        <w:rPr>
          <w:rFonts w:ascii="Times New Roman" w:hAnsi="Times New Roman" w:cs="Times New Roman"/>
          <w:b/>
          <w:sz w:val="24"/>
          <w:szCs w:val="24"/>
          <w:lang w:val="en-GB"/>
        </w:rPr>
      </w:pPr>
    </w:p>
    <w:p w:rsidR="00DB26B7" w:rsidRPr="00B81F5E" w:rsidRDefault="00DB26B7" w:rsidP="00B81F5E">
      <w:pPr>
        <w:spacing w:line="360" w:lineRule="auto"/>
        <w:jc w:val="both"/>
        <w:rPr>
          <w:rFonts w:ascii="Times New Roman" w:hAnsi="Times New Roman" w:cs="Times New Roman"/>
          <w:sz w:val="24"/>
          <w:szCs w:val="24"/>
          <w:lang w:val="en-GB"/>
        </w:rPr>
      </w:pPr>
      <w:r w:rsidRPr="00B81F5E">
        <w:rPr>
          <w:rFonts w:ascii="Times New Roman" w:hAnsi="Times New Roman" w:cs="Times New Roman"/>
          <w:b/>
          <w:sz w:val="24"/>
          <w:szCs w:val="24"/>
          <w:lang w:val="en-GB"/>
        </w:rPr>
        <w:t>DISCUSSION</w:t>
      </w:r>
    </w:p>
    <w:p w:rsidR="00EB3033" w:rsidRPr="00FF17C0" w:rsidRDefault="00DB26B7" w:rsidP="00122421">
      <w:pPr>
        <w:pStyle w:val="Style"/>
        <w:spacing w:after="300" w:line="360" w:lineRule="auto"/>
        <w:jc w:val="both"/>
        <w:textAlignment w:val="baseline"/>
        <w:rPr>
          <w:lang w:val="en-GB"/>
        </w:rPr>
      </w:pPr>
      <w:r w:rsidRPr="00FF17C0">
        <w:rPr>
          <w:lang w:val="en-GB"/>
        </w:rPr>
        <w:t>The study exposes the analysis of some acute phase proteins (Alpha-Fetoprotein, ESR and Leucocytes count) in viral hepatitis patients. Several studies have been conducted to demonstrate the elevation of serum AFP level in a patient with hepatitis B (</w:t>
      </w:r>
      <w:r w:rsidR="00BD0D86" w:rsidRPr="00FF17C0">
        <w:rPr>
          <w:lang w:val="en-GB"/>
        </w:rPr>
        <w:t>Mansi</w:t>
      </w:r>
      <w:r w:rsidRPr="00FF17C0">
        <w:rPr>
          <w:lang w:val="en-GB"/>
        </w:rPr>
        <w:t xml:space="preserve">, 2006) one of the study showed that the major cause of AFP elevation in patients with Chronic hepatitis B is an exacerbation of disease. AFP elevation occurred shortly after the </w:t>
      </w:r>
      <w:r w:rsidR="00CA6B65" w:rsidRPr="00FF17C0">
        <w:rPr>
          <w:lang w:val="en-GB"/>
        </w:rPr>
        <w:t>onset</w:t>
      </w:r>
      <w:r w:rsidRPr="00FF17C0">
        <w:rPr>
          <w:lang w:val="en-GB"/>
        </w:rPr>
        <w:t xml:space="preserve"> of an exacerbation in the underlying chronic hepatitis.</w:t>
      </w:r>
    </w:p>
    <w:p w:rsidR="00DB26B7" w:rsidRDefault="00EB3033" w:rsidP="00122421">
      <w:pPr>
        <w:pStyle w:val="Style"/>
        <w:spacing w:after="300" w:line="360" w:lineRule="auto"/>
        <w:jc w:val="both"/>
        <w:textAlignment w:val="baseline"/>
        <w:rPr>
          <w:lang w:val="en-GB"/>
        </w:rPr>
      </w:pPr>
      <w:r w:rsidRPr="00FF17C0">
        <w:rPr>
          <w:lang w:val="en-GB"/>
        </w:rPr>
        <w:t xml:space="preserve"> </w:t>
      </w:r>
      <w:r w:rsidR="00DB26B7" w:rsidRPr="00FF17C0">
        <w:rPr>
          <w:lang w:val="en-GB"/>
        </w:rPr>
        <w:t xml:space="preserve">Chronic inflammation is found in the liver related, disorder such as neonatal hepatitis (NH), hepatitis C. virus (HCV) and Hepatitis B virus (HBV) often associated with hepatic Cirrhosis. AFP has been implicated in all forms of chronic hepatitis. HCV is major cause of acute and chronic liver disease. Several studies reported the prevalence of viral chronic liver disease (CLD). Erythrocytes sedimentation rate (ESR) is the rate which red blood cell sediment in a period of one hour and is a non-specific measure of inflammation in the body. </w:t>
      </w:r>
      <w:r w:rsidR="00B81F5E" w:rsidRPr="00FF17C0">
        <w:rPr>
          <w:lang w:val="en-GB"/>
        </w:rPr>
        <w:t>However,</w:t>
      </w:r>
      <w:r w:rsidR="00DB26B7" w:rsidRPr="00FF17C0">
        <w:rPr>
          <w:lang w:val="en-GB"/>
        </w:rPr>
        <w:t xml:space="preserve"> another study was done to find the relationship between ESR and all types of hepatitis and the finding shows that the high ESR were more frequent in HBV than in other types of hepatitis (Kassa, 1997). Erythrocyte </w:t>
      </w:r>
      <w:r w:rsidR="00CA6B65" w:rsidRPr="00FF17C0">
        <w:rPr>
          <w:lang w:val="en-GB"/>
        </w:rPr>
        <w:t xml:space="preserve">Sedimentation Rate </w:t>
      </w:r>
      <w:r w:rsidR="00DB26B7" w:rsidRPr="00FF17C0">
        <w:rPr>
          <w:lang w:val="en-GB"/>
        </w:rPr>
        <w:t xml:space="preserve">red to the control. Viral hepatitis joins the conditions such as liver Cirrhosis, inflammatory CA and conditions in which leucocytes count appears to be high. These </w:t>
      </w:r>
      <w:r w:rsidR="004F492F" w:rsidRPr="00FF17C0">
        <w:rPr>
          <w:lang w:val="en-GB"/>
        </w:rPr>
        <w:t>results</w:t>
      </w:r>
      <w:r w:rsidR="00DB26B7" w:rsidRPr="00FF17C0">
        <w:rPr>
          <w:lang w:val="en-GB"/>
        </w:rPr>
        <w:t xml:space="preserve"> are consistent with the theory that inflammation has a role in etiology of viral hepatitis. However, the erythrocyte sedimentation rate was significantly associated with viral hepatitis (Adler and Green, 2005). Our study also showed that the peripheral total WBC, monocyte and lymphocytes count were high in viral hepatitis count were stronger predictors of incident control. Simi</w:t>
      </w:r>
      <w:r w:rsidR="00904FBD" w:rsidRPr="00FF17C0">
        <w:rPr>
          <w:lang w:val="en-GB"/>
        </w:rPr>
        <w:t>lar fin</w:t>
      </w:r>
      <w:r w:rsidR="00DB26B7" w:rsidRPr="00FF17C0">
        <w:rPr>
          <w:lang w:val="en-GB"/>
        </w:rPr>
        <w:t xml:space="preserve">ding </w:t>
      </w:r>
      <w:r w:rsidR="00591902" w:rsidRPr="00FF17C0">
        <w:rPr>
          <w:lang w:val="en-GB"/>
        </w:rPr>
        <w:t>was</w:t>
      </w:r>
      <w:r w:rsidR="00DB26B7" w:rsidRPr="00FF17C0">
        <w:rPr>
          <w:lang w:val="en-GB"/>
        </w:rPr>
        <w:t xml:space="preserve"> reported that the peripheral blood monocytes in chronic HBV infection proliferate and increase in number </w:t>
      </w:r>
      <w:r w:rsidR="00DB26B7" w:rsidRPr="00FF17C0">
        <w:rPr>
          <w:i/>
          <w:iCs/>
          <w:lang w:val="en-GB"/>
        </w:rPr>
        <w:t xml:space="preserve">(Macaulay et al., </w:t>
      </w:r>
      <w:r w:rsidR="00DB26B7" w:rsidRPr="00FF17C0">
        <w:rPr>
          <w:iCs/>
          <w:lang w:val="en-GB"/>
        </w:rPr>
        <w:t>2011</w:t>
      </w:r>
      <w:r w:rsidR="00DB26B7" w:rsidRPr="00FF17C0">
        <w:rPr>
          <w:i/>
          <w:iCs/>
          <w:lang w:val="en-GB"/>
        </w:rPr>
        <w:t xml:space="preserve">). </w:t>
      </w:r>
      <w:r w:rsidR="00DB26B7" w:rsidRPr="00FF17C0">
        <w:rPr>
          <w:lang w:val="en-GB"/>
        </w:rPr>
        <w:t xml:space="preserve">It is now clear that there is considerable and complex cross talk and collaboration between cells of both these systems, both in acute and chronic disease both these systems are implicated in the chronic inflammatory syndrome in viral hepatitis </w:t>
      </w:r>
      <w:r w:rsidR="00DB26B7" w:rsidRPr="00FF17C0">
        <w:rPr>
          <w:i/>
          <w:iCs/>
          <w:lang w:val="en-GB"/>
        </w:rPr>
        <w:t xml:space="preserve">(Akarsu </w:t>
      </w:r>
      <w:r w:rsidR="00DB26B7" w:rsidRPr="00FF17C0">
        <w:rPr>
          <w:i/>
          <w:iCs/>
          <w:lang w:val="en-GB"/>
        </w:rPr>
        <w:lastRenderedPageBreak/>
        <w:t xml:space="preserve">at el., 2008) </w:t>
      </w:r>
      <w:r w:rsidR="00DB26B7" w:rsidRPr="00FF17C0">
        <w:rPr>
          <w:lang w:val="en-GB"/>
        </w:rPr>
        <w:t>Since inflammation plays a role in development of viral hepatitis, understanding its role is important in the development of prevention strategies for viral hepatitis.</w:t>
      </w:r>
    </w:p>
    <w:p w:rsidR="00DB26B7" w:rsidRPr="00FF17C0" w:rsidRDefault="00DB26B7" w:rsidP="00122421">
      <w:pPr>
        <w:pStyle w:val="Style"/>
        <w:spacing w:line="360" w:lineRule="auto"/>
        <w:jc w:val="both"/>
        <w:rPr>
          <w:lang w:val="en-GB"/>
        </w:rPr>
      </w:pPr>
      <w:r w:rsidRPr="00FF17C0">
        <w:rPr>
          <w:b/>
          <w:w w:val="109"/>
          <w:lang w:val="en-GB"/>
        </w:rPr>
        <w:t>CONCLUSION</w:t>
      </w:r>
    </w:p>
    <w:p w:rsidR="00DB26B7" w:rsidRPr="00FF17C0" w:rsidRDefault="00DB26B7" w:rsidP="00122421">
      <w:pPr>
        <w:pStyle w:val="Style"/>
        <w:spacing w:after="300" w:line="360" w:lineRule="auto"/>
        <w:jc w:val="both"/>
        <w:textAlignment w:val="baseline"/>
        <w:rPr>
          <w:lang w:val="en-GB"/>
        </w:rPr>
      </w:pPr>
      <w:r w:rsidRPr="00FF17C0">
        <w:rPr>
          <w:lang w:val="en-GB"/>
        </w:rPr>
        <w:t xml:space="preserve">In conclusion this study </w:t>
      </w:r>
      <w:r w:rsidR="003961DC" w:rsidRPr="00FF17C0">
        <w:rPr>
          <w:lang w:val="en-GB"/>
        </w:rPr>
        <w:t>suggests</w:t>
      </w:r>
      <w:r w:rsidRPr="00FF17C0">
        <w:rPr>
          <w:lang w:val="en-GB"/>
        </w:rPr>
        <w:t xml:space="preserve"> that using micro-plate enzyme immunoassay method in monitoring the AFP in patient with HBV and Haematological parameters e.g ESR and Leucocytes count is also necessary because it can help in predict potential transition of viral hepatitis, administering anti-inflammatory medication in addition to lifestyle, changes may bolster efforts in preventing viral hepatitis disease.</w:t>
      </w:r>
    </w:p>
    <w:p w:rsidR="003961DC" w:rsidRPr="00FF17C0" w:rsidRDefault="003961DC">
      <w:pPr>
        <w:rPr>
          <w:rFonts w:ascii="Times New Roman" w:hAnsi="Times New Roman" w:cs="Times New Roman"/>
          <w:sz w:val="24"/>
          <w:szCs w:val="24"/>
          <w:lang w:val="en-GB"/>
        </w:rPr>
      </w:pPr>
      <w:r w:rsidRPr="00FF17C0">
        <w:rPr>
          <w:lang w:val="en-GB"/>
        </w:rPr>
        <w:br w:type="page"/>
      </w:r>
    </w:p>
    <w:p w:rsidR="00DB26B7" w:rsidRPr="00FF17C0" w:rsidRDefault="00DB26B7" w:rsidP="00122421">
      <w:pPr>
        <w:pStyle w:val="Style"/>
        <w:spacing w:before="300" w:after="300" w:line="360" w:lineRule="auto"/>
        <w:jc w:val="center"/>
        <w:textAlignment w:val="baseline"/>
        <w:rPr>
          <w:b/>
          <w:lang w:val="en-GB"/>
        </w:rPr>
      </w:pPr>
      <w:r w:rsidRPr="00FF17C0">
        <w:rPr>
          <w:rFonts w:eastAsia="Courier New"/>
          <w:b/>
          <w:lang w:val="en-GB"/>
        </w:rPr>
        <w:lastRenderedPageBreak/>
        <w:t>REFERENCE</w:t>
      </w:r>
    </w:p>
    <w:p w:rsidR="00DB26B7" w:rsidRPr="00FF17C0" w:rsidRDefault="00DB26B7" w:rsidP="00122421">
      <w:pPr>
        <w:pStyle w:val="Style"/>
        <w:spacing w:after="300" w:line="360" w:lineRule="auto"/>
        <w:ind w:left="681" w:hanging="681"/>
        <w:jc w:val="both"/>
        <w:textAlignment w:val="baseline"/>
        <w:rPr>
          <w:lang w:val="en-GB"/>
        </w:rPr>
      </w:pPr>
      <w:r w:rsidRPr="00FF17C0">
        <w:rPr>
          <w:lang w:val="en-GB"/>
        </w:rPr>
        <w:t xml:space="preserve">Alder A. Green M., Robinson D. (2005). Simple Rule for Calculating Normol Erythrocytes </w:t>
      </w:r>
      <w:r w:rsidR="003961DC" w:rsidRPr="00FF17C0">
        <w:rPr>
          <w:lang w:val="en-GB"/>
        </w:rPr>
        <w:t>Sedimentation</w:t>
      </w:r>
      <w:r w:rsidRPr="00FF17C0">
        <w:rPr>
          <w:lang w:val="en-GB"/>
        </w:rPr>
        <w:t xml:space="preserve"> Rate: British Medical Journal (Clinical Res</w:t>
      </w:r>
      <w:r w:rsidRPr="00FF17C0">
        <w:rPr>
          <w:lang w:val="en-GB"/>
        </w:rPr>
        <w:softHyphen/>
        <w:t>Edition 286 (6361): 241-262.</w:t>
      </w:r>
    </w:p>
    <w:p w:rsidR="00DB26B7" w:rsidRPr="00FF17C0" w:rsidRDefault="00DB26B7" w:rsidP="00122421">
      <w:pPr>
        <w:pStyle w:val="Style"/>
        <w:spacing w:after="300" w:line="360" w:lineRule="auto"/>
        <w:ind w:left="691" w:hanging="691"/>
        <w:jc w:val="both"/>
        <w:textAlignment w:val="baseline"/>
        <w:rPr>
          <w:lang w:val="en-GB"/>
        </w:rPr>
      </w:pPr>
      <w:r w:rsidRPr="00FF17C0">
        <w:rPr>
          <w:lang w:val="en-GB"/>
        </w:rPr>
        <w:t xml:space="preserve">Akarsu S, Erensoy A, Elkran </w:t>
      </w:r>
      <w:r w:rsidRPr="00FF17C0">
        <w:rPr>
          <w:w w:val="155"/>
          <w:lang w:val="en-GB"/>
        </w:rPr>
        <w:t xml:space="preserve">0 </w:t>
      </w:r>
      <w:r w:rsidRPr="00FF17C0">
        <w:rPr>
          <w:lang w:val="en-GB"/>
        </w:rPr>
        <w:t>Abdullah Kurt, A NefieCtak Kurt and A, Denizmen</w:t>
      </w:r>
      <w:r w:rsidR="003961DC" w:rsidRPr="00FF17C0">
        <w:rPr>
          <w:lang w:val="en-GB"/>
        </w:rPr>
        <w:t xml:space="preserve"> </w:t>
      </w:r>
      <w:r w:rsidRPr="00FF17C0">
        <w:rPr>
          <w:lang w:val="en-GB"/>
        </w:rPr>
        <w:t>Aygun.(2008). Heamatological abnormalities in Patients with acute viral hepatitis.</w:t>
      </w:r>
      <w:r w:rsidR="003961DC" w:rsidRPr="00FF17C0">
        <w:rPr>
          <w:lang w:val="en-GB"/>
        </w:rPr>
        <w:t xml:space="preserve"> </w:t>
      </w:r>
      <w:r w:rsidRPr="00FF17C0">
        <w:rPr>
          <w:lang w:val="en-GB"/>
        </w:rPr>
        <w:t>Spediatiinf</w:t>
      </w:r>
      <w:r w:rsidR="003961DC" w:rsidRPr="00FF17C0">
        <w:rPr>
          <w:lang w:val="en-GB"/>
        </w:rPr>
        <w:t xml:space="preserve"> </w:t>
      </w:r>
      <w:r w:rsidRPr="00FF17C0">
        <w:rPr>
          <w:lang w:val="en-GB"/>
        </w:rPr>
        <w:t>3:90-95.</w:t>
      </w:r>
    </w:p>
    <w:p w:rsidR="00DB26B7" w:rsidRPr="00FF17C0" w:rsidRDefault="00DB26B7" w:rsidP="00122421">
      <w:pPr>
        <w:pStyle w:val="Style"/>
        <w:spacing w:after="300" w:line="360" w:lineRule="auto"/>
        <w:ind w:left="686" w:hanging="686"/>
        <w:jc w:val="both"/>
        <w:textAlignment w:val="baseline"/>
        <w:rPr>
          <w:lang w:val="en-GB"/>
        </w:rPr>
      </w:pPr>
      <w:r w:rsidRPr="00FF17C0">
        <w:rPr>
          <w:lang w:val="en-GB"/>
        </w:rPr>
        <w:t>Bregman D.B., Morris D; Koch T.A, He A Goodnough L.T (2013).Hepadin from discovery to different Diagnosis. Hematological a3(l); 90-7.</w:t>
      </w:r>
    </w:p>
    <w:p w:rsidR="00DB26B7" w:rsidRPr="00FF17C0" w:rsidRDefault="00DB26B7" w:rsidP="00122421">
      <w:pPr>
        <w:pStyle w:val="Style"/>
        <w:spacing w:after="300" w:line="360" w:lineRule="auto"/>
        <w:ind w:left="705" w:hanging="705"/>
        <w:jc w:val="both"/>
        <w:textAlignment w:val="baseline"/>
        <w:rPr>
          <w:lang w:val="en-GB"/>
        </w:rPr>
      </w:pPr>
      <w:r w:rsidRPr="00FF17C0">
        <w:rPr>
          <w:lang w:val="en-GB"/>
        </w:rPr>
        <w:t>Katz PR, Karuza J, Gutman SI, Bartholomew W, Richman G. (1990). A Comparison Between Erythrocytes sedimentation rate (ESR) and select Acute-Phase Proteins in the Elderly. Am J. Clin Pathology 312(6):1112- 1313.</w:t>
      </w:r>
    </w:p>
    <w:p w:rsidR="00DB26B7" w:rsidRPr="00FF17C0" w:rsidRDefault="00DB26B7" w:rsidP="00122421">
      <w:pPr>
        <w:pStyle w:val="Style"/>
        <w:spacing w:after="300" w:line="360" w:lineRule="auto"/>
        <w:ind w:left="748" w:hanging="748"/>
        <w:jc w:val="both"/>
        <w:textAlignment w:val="baseline"/>
        <w:rPr>
          <w:lang w:val="en-GB"/>
        </w:rPr>
      </w:pPr>
      <w:r w:rsidRPr="00FF17C0">
        <w:rPr>
          <w:lang w:val="en-GB"/>
        </w:rPr>
        <w:t>Macaulay D.A., Dale M.M .. , Loyllie R.(2011). The Leucocytes of Exercise.A review and model sports med. 6333-6335.</w:t>
      </w:r>
    </w:p>
    <w:p w:rsidR="00DB26B7" w:rsidRPr="00FF17C0" w:rsidRDefault="00DB26B7" w:rsidP="00122421">
      <w:pPr>
        <w:pStyle w:val="Style"/>
        <w:spacing w:after="300" w:line="360" w:lineRule="auto"/>
        <w:ind w:left="748" w:hanging="748"/>
        <w:jc w:val="both"/>
        <w:textAlignment w:val="baseline"/>
        <w:rPr>
          <w:lang w:val="en-GB"/>
        </w:rPr>
      </w:pPr>
      <w:r w:rsidRPr="00FF17C0">
        <w:rPr>
          <w:lang w:val="en-GB"/>
        </w:rPr>
        <w:t>Mansi</w:t>
      </w:r>
      <w:r w:rsidR="003961DC" w:rsidRPr="00FF17C0">
        <w:rPr>
          <w:lang w:val="en-GB"/>
        </w:rPr>
        <w:t xml:space="preserve"> </w:t>
      </w:r>
      <w:r w:rsidRPr="00FF17C0">
        <w:rPr>
          <w:lang w:val="en-GB"/>
        </w:rPr>
        <w:t>(2006). Use of Erythrocytes sedimentation rate in the elderly. British journal Hosp. medical, 394-397.</w:t>
      </w:r>
    </w:p>
    <w:p w:rsidR="00DB26B7" w:rsidRPr="00FF17C0" w:rsidRDefault="00DB26B7" w:rsidP="00122421">
      <w:pPr>
        <w:pStyle w:val="Style"/>
        <w:spacing w:after="300" w:line="360" w:lineRule="auto"/>
        <w:ind w:left="748" w:hanging="748"/>
        <w:jc w:val="both"/>
        <w:textAlignment w:val="baseline"/>
        <w:rPr>
          <w:lang w:val="en-GB"/>
        </w:rPr>
      </w:pPr>
      <w:r w:rsidRPr="00FF17C0">
        <w:rPr>
          <w:lang w:val="en-GB"/>
        </w:rPr>
        <w:t>Mcpherson RA. (2011). Leukocytic disorders in Henry's Chinical Diagnosis and Management by Laboratory methods. 22</w:t>
      </w:r>
      <w:r w:rsidRPr="00FF17C0">
        <w:rPr>
          <w:w w:val="105"/>
          <w:vertAlign w:val="superscript"/>
          <w:lang w:val="en-GB"/>
        </w:rPr>
        <w:t>nd</w:t>
      </w:r>
      <w:r w:rsidRPr="00FF17C0">
        <w:rPr>
          <w:w w:val="105"/>
          <w:lang w:val="en-GB"/>
        </w:rPr>
        <w:t xml:space="preserve"> </w:t>
      </w:r>
      <w:r w:rsidRPr="00FF17C0">
        <w:rPr>
          <w:lang w:val="en-GB"/>
        </w:rPr>
        <w:t>ed. Philadephia, pasaunder Elsevier.</w:t>
      </w:r>
    </w:p>
    <w:p w:rsidR="00DB26B7" w:rsidRPr="00FF17C0" w:rsidRDefault="00DB26B7" w:rsidP="00122421">
      <w:pPr>
        <w:pStyle w:val="Style"/>
        <w:spacing w:after="300" w:line="360" w:lineRule="auto"/>
        <w:ind w:left="724" w:hanging="724"/>
        <w:jc w:val="both"/>
        <w:textAlignment w:val="baseline"/>
        <w:rPr>
          <w:lang w:val="en-GB"/>
        </w:rPr>
      </w:pPr>
      <w:r w:rsidRPr="00FF17C0">
        <w:rPr>
          <w:lang w:val="en-GB"/>
        </w:rPr>
        <w:t>Miller A., Green M., Robinson D. (2000). Simple Rule for calculating Normal Erythrocytes sedimentation rate. British Journal 286 (6361);266.</w:t>
      </w:r>
    </w:p>
    <w:p w:rsidR="00DB26B7" w:rsidRPr="00FF17C0" w:rsidRDefault="00DB26B7" w:rsidP="00122421">
      <w:pPr>
        <w:pStyle w:val="Style"/>
        <w:spacing w:after="300" w:line="360" w:lineRule="auto"/>
        <w:ind w:left="724" w:hanging="724"/>
        <w:jc w:val="both"/>
        <w:textAlignment w:val="baseline"/>
        <w:rPr>
          <w:lang w:val="en-GB"/>
        </w:rPr>
      </w:pPr>
      <w:r w:rsidRPr="00FF17C0">
        <w:rPr>
          <w:lang w:val="en-GB"/>
        </w:rPr>
        <w:t>Mitejekiski GJL (2004) Biological roles of Alpha-Fetoprotein During pregnancy and Perinatal Development.Exp Bio. Med. (Maywood) 229:439-63.</w:t>
      </w:r>
    </w:p>
    <w:p w:rsidR="003961DC" w:rsidRPr="00FF17C0" w:rsidRDefault="006319B9" w:rsidP="003961DC">
      <w:pPr>
        <w:pStyle w:val="Style"/>
        <w:spacing w:after="300" w:line="360" w:lineRule="auto"/>
        <w:ind w:left="676" w:hanging="676"/>
        <w:jc w:val="both"/>
        <w:textAlignment w:val="baseline"/>
        <w:rPr>
          <w:lang w:val="en-GB"/>
        </w:rPr>
      </w:pPr>
      <w:r w:rsidRPr="00FF17C0">
        <w:rPr>
          <w:lang w:val="en-GB"/>
        </w:rPr>
        <w:t>Isbister James P.D. Harmony Pittiglio (1988). Clinical Haematology. A problem -oriented Approach. PP 64-89.</w:t>
      </w:r>
    </w:p>
    <w:p w:rsidR="003961DC" w:rsidRPr="00FF17C0" w:rsidRDefault="003241B8" w:rsidP="003961DC">
      <w:pPr>
        <w:pStyle w:val="Style"/>
        <w:spacing w:after="300" w:line="360" w:lineRule="auto"/>
        <w:ind w:left="676" w:hanging="676"/>
        <w:jc w:val="both"/>
        <w:textAlignment w:val="baseline"/>
        <w:rPr>
          <w:lang w:val="en-GB"/>
        </w:rPr>
      </w:pPr>
      <w:r w:rsidRPr="00FF17C0">
        <w:rPr>
          <w:lang w:val="en-GB"/>
        </w:rPr>
        <w:lastRenderedPageBreak/>
        <w:t>Obeagu, E.F., Onyenweaku, F.C., Nwobodo, H.A., Ochei, K.C., Ochiabuto,</w:t>
      </w:r>
      <w:r w:rsidR="003961DC" w:rsidRPr="00FF17C0">
        <w:rPr>
          <w:lang w:val="en-GB"/>
        </w:rPr>
        <w:t xml:space="preserve"> </w:t>
      </w:r>
      <w:r w:rsidRPr="00FF17C0">
        <w:rPr>
          <w:lang w:val="en-GB"/>
        </w:rPr>
        <w:t>O.M.T.B. (2017) Impact of HIV and Hepatitis B Virus Coinfection on Selected Haematological Markers of the Patients in Umuahia, Abia State, Nigeria. Ann Clin Lab Res. 5:2. doi:10.21767/2386-5180.1000175</w:t>
      </w:r>
    </w:p>
    <w:p w:rsidR="003961DC" w:rsidRPr="00FF17C0" w:rsidRDefault="003241B8" w:rsidP="003961DC">
      <w:pPr>
        <w:pStyle w:val="Style"/>
        <w:spacing w:after="300" w:line="360" w:lineRule="auto"/>
        <w:ind w:left="676" w:hanging="676"/>
        <w:jc w:val="both"/>
        <w:textAlignment w:val="baseline"/>
        <w:rPr>
          <w:lang w:val="en-GB"/>
        </w:rPr>
      </w:pPr>
      <w:r w:rsidRPr="00FF17C0">
        <w:rPr>
          <w:lang w:val="en-GB"/>
        </w:rPr>
        <w:t>Francisca, O.U., Ihongbe, J.C., Ifeanyi, O.E. (2017). Evaluation of Some Immunological and Haematological Indices of Hepatitis B Infected Subjects in Nnamdi Azikiwe University Teaching Hospital, Nnewi, Anambra State, Nigeria. J Biomedical Sci. 6:3. doi: 10.4172/2254-609X.100061</w:t>
      </w:r>
    </w:p>
    <w:p w:rsidR="003961DC" w:rsidRPr="00FF17C0" w:rsidRDefault="003241B8" w:rsidP="003961DC">
      <w:pPr>
        <w:pStyle w:val="Style"/>
        <w:spacing w:after="300" w:line="360" w:lineRule="auto"/>
        <w:ind w:left="676" w:hanging="676"/>
        <w:jc w:val="both"/>
        <w:textAlignment w:val="baseline"/>
        <w:rPr>
          <w:lang w:val="en-GB"/>
        </w:rPr>
      </w:pPr>
      <w:r w:rsidRPr="00FF17C0">
        <w:rPr>
          <w:lang w:val="en-GB"/>
        </w:rPr>
        <w:t>Okara,G.C., Hassan, S. and Obeagu, E.I. (2017). Hepatitis A virus infection among apparently healthy Nigerian Subjects. J Biomedical Sci. 6:2. doi:10.4172/2254-609X.100055</w:t>
      </w:r>
    </w:p>
    <w:p w:rsidR="003241B8" w:rsidRPr="00FF17C0" w:rsidRDefault="003241B8" w:rsidP="003961DC">
      <w:pPr>
        <w:pStyle w:val="Style"/>
        <w:spacing w:after="300" w:line="360" w:lineRule="auto"/>
        <w:ind w:left="676" w:hanging="676"/>
        <w:jc w:val="both"/>
        <w:textAlignment w:val="baseline"/>
        <w:rPr>
          <w:rStyle w:val="markedcontent"/>
          <w:lang w:val="en-GB"/>
        </w:rPr>
      </w:pPr>
      <w:r w:rsidRPr="00FF17C0">
        <w:rPr>
          <w:rStyle w:val="markedcontent"/>
          <w:lang w:val="en-GB"/>
        </w:rPr>
        <w:t>Obeagu, E I. (2018).  A Review on Hepatitis B Virus and Hepatocellular Carcinoma. Canc Therapy &amp; Oncol Int J.10(2): 555784.</w:t>
      </w:r>
      <w:r w:rsidRPr="00FF17C0">
        <w:rPr>
          <w:lang w:val="en-GB"/>
        </w:rPr>
        <w:br/>
      </w:r>
      <w:r w:rsidRPr="00FF17C0">
        <w:rPr>
          <w:rStyle w:val="markedcontent"/>
          <w:lang w:val="en-GB"/>
        </w:rPr>
        <w:t>DOI: 10.19080/CTOIJ.2018.10.555784</w:t>
      </w:r>
    </w:p>
    <w:sectPr w:rsidR="003241B8" w:rsidRPr="00FF17C0" w:rsidSect="00FD51CD">
      <w:type w:val="continuous"/>
      <w:pgSz w:w="11907" w:h="16839" w:code="9"/>
      <w:pgMar w:top="1440" w:right="1440" w:bottom="1440" w:left="1440" w:header="708" w:footer="708" w:gutter="0"/>
      <w:pgNumType w:start="103"/>
      <w:cols w:space="708"/>
      <w:docGrid w:linePitch="316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7A4" w:rsidRDefault="00FD67A4" w:rsidP="00F96C31">
      <w:r>
        <w:separator/>
      </w:r>
    </w:p>
  </w:endnote>
  <w:endnote w:type="continuationSeparator" w:id="0">
    <w:p w:rsidR="00FD67A4" w:rsidRDefault="00FD67A4" w:rsidP="00F9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18" w:rsidRPr="00FB3718" w:rsidRDefault="00806B4C" w:rsidP="00FB3718">
    <w:pPr>
      <w:pStyle w:val="Style"/>
      <w:spacing w:before="300" w:after="300"/>
      <w:jc w:val="both"/>
      <w:textAlignment w:val="baseline"/>
      <w:rPr>
        <w:iCs/>
      </w:rPr>
    </w:pPr>
    <w:r>
      <w:rPr>
        <w:iCs/>
        <w:noProof/>
        <w:lang w:eastAsia="en-US"/>
      </w:rPr>
      <mc:AlternateContent>
        <mc:Choice Requires="wps">
          <w:drawing>
            <wp:anchor distT="0" distB="0" distL="114300" distR="114300" simplePos="0" relativeHeight="251658240" behindDoc="0" locked="0" layoutInCell="1" allowOverlap="1">
              <wp:simplePos x="0" y="0"/>
              <wp:positionH relativeFrom="column">
                <wp:posOffset>-285750</wp:posOffset>
              </wp:positionH>
              <wp:positionV relativeFrom="paragraph">
                <wp:posOffset>64770</wp:posOffset>
              </wp:positionV>
              <wp:extent cx="646747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0E298" id="_x0000_t32" coordsize="21600,21600" o:spt="32" o:oned="t" path="m,l21600,21600e" filled="f">
              <v:path arrowok="t" fillok="f" o:connecttype="none"/>
              <o:lock v:ext="edit" shapetype="t"/>
            </v:shapetype>
            <v:shape id="AutoShape 1" o:spid="_x0000_s1026" type="#_x0000_t32" style="position:absolute;margin-left:-22.5pt;margin-top:5.1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" strokeweight="1pt"/>
          </w:pict>
        </mc:Fallback>
      </mc:AlternateContent>
    </w:r>
    <w:r w:rsidR="00FB3718" w:rsidRPr="00FF17C0">
      <w:rPr>
        <w:iCs/>
        <w:lang w:val="en-GB"/>
      </w:rPr>
      <w:t>Okoroiwu</w:t>
    </w:r>
    <w:r w:rsidR="00FB3718">
      <w:rPr>
        <w:iCs/>
        <w:lang w:val="en-GB"/>
      </w:rPr>
      <w:t xml:space="preserve"> I.J.,</w:t>
    </w:r>
    <w:r w:rsidR="00FB3718" w:rsidRPr="00FF17C0">
      <w:rPr>
        <w:iCs/>
        <w:lang w:val="en-GB"/>
      </w:rPr>
      <w:t xml:space="preserve"> Obeagu</w:t>
    </w:r>
    <w:r w:rsidR="00FB3718">
      <w:rPr>
        <w:iCs/>
        <w:lang w:val="en-GB"/>
      </w:rPr>
      <w:t xml:space="preserve"> E.I.,</w:t>
    </w:r>
    <w:r w:rsidR="00FB3718" w:rsidRPr="00FF17C0">
      <w:rPr>
        <w:iCs/>
        <w:lang w:val="en-GB"/>
      </w:rPr>
      <w:t xml:space="preserve"> and </w:t>
    </w:r>
    <w:r w:rsidR="00FB3718">
      <w:rPr>
        <w:iCs/>
        <w:lang w:val="en-GB"/>
      </w:rPr>
      <w:t>Igbikwe C. Evaluation o</w:t>
    </w:r>
    <w:r w:rsidR="00FB3718" w:rsidRPr="00C7714D">
      <w:rPr>
        <w:iCs/>
        <w:lang w:val="en-GB"/>
      </w:rPr>
      <w:t>f Acute Phase Proteins (Alpha-Fetoprotein, E</w:t>
    </w:r>
    <w:r w:rsidR="00FB3718">
      <w:rPr>
        <w:iCs/>
        <w:lang w:val="en-GB"/>
      </w:rPr>
      <w:t>rythrocyte, Sedimentation Rate a</w:t>
    </w:r>
    <w:r w:rsidR="00B714F6">
      <w:rPr>
        <w:iCs/>
        <w:lang w:val="en-GB"/>
      </w:rPr>
      <w:t>nd Leucocytes Counts in Viral Hepatitis Patients i</w:t>
    </w:r>
    <w:r w:rsidR="00FB3718" w:rsidRPr="00C7714D">
      <w:rPr>
        <w:iCs/>
        <w:lang w:val="en-GB"/>
      </w:rPr>
      <w:t>n Aba</w:t>
    </w:r>
    <w:r w:rsidR="00FB3718">
      <w:rPr>
        <w:iCs/>
        <w:lang w:val="en-GB"/>
      </w:rPr>
      <w:t xml:space="preserve">. </w:t>
    </w:r>
    <w:r w:rsidR="00FB3718" w:rsidRPr="00C7714D">
      <w:rPr>
        <w:iCs/>
      </w:rPr>
      <w:t>Madonna Journal of Medicine and Health Sciences</w:t>
    </w:r>
    <w:r w:rsidR="00FB3718">
      <w:rPr>
        <w:iCs/>
      </w:rPr>
      <w:t>. 2022 2(1) 98 – 107.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E6" w:rsidRPr="00FB3718" w:rsidRDefault="00806B4C" w:rsidP="00E354E6">
    <w:pPr>
      <w:pStyle w:val="Style"/>
      <w:spacing w:before="300" w:after="300"/>
      <w:jc w:val="both"/>
      <w:textAlignment w:val="baseline"/>
      <w:rPr>
        <w:iCs/>
      </w:rPr>
    </w:pPr>
    <w:r>
      <w:rPr>
        <w:iCs/>
        <w:noProof/>
        <w:lang w:eastAsia="en-US"/>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64770</wp:posOffset>
              </wp:positionV>
              <wp:extent cx="6467475"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34082" id="_x0000_t32" coordsize="21600,21600" o:spt="32" o:oned="t" path="m,l21600,21600e" filled="f">
              <v:path arrowok="t" fillok="f" o:connecttype="none"/>
              <o:lock v:ext="edit" shapetype="t"/>
            </v:shapetype>
            <v:shape id="AutoShape 2" o:spid="_x0000_s1026" type="#_x0000_t32" style="position:absolute;margin-left:-22.5pt;margin-top:5.1pt;width:50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" strokeweight="1pt"/>
          </w:pict>
        </mc:Fallback>
      </mc:AlternateContent>
    </w:r>
    <w:r w:rsidR="00E354E6" w:rsidRPr="00FF17C0">
      <w:rPr>
        <w:iCs/>
        <w:lang w:val="en-GB"/>
      </w:rPr>
      <w:t>Okoroiwu</w:t>
    </w:r>
    <w:r w:rsidR="00E354E6">
      <w:rPr>
        <w:iCs/>
        <w:lang w:val="en-GB"/>
      </w:rPr>
      <w:t xml:space="preserve"> I.J.,</w:t>
    </w:r>
    <w:r w:rsidR="00E354E6" w:rsidRPr="00FF17C0">
      <w:rPr>
        <w:iCs/>
        <w:lang w:val="en-GB"/>
      </w:rPr>
      <w:t xml:space="preserve"> Obeagu</w:t>
    </w:r>
    <w:r w:rsidR="00E354E6">
      <w:rPr>
        <w:iCs/>
        <w:lang w:val="en-GB"/>
      </w:rPr>
      <w:t xml:space="preserve"> E.I.,</w:t>
    </w:r>
    <w:r w:rsidR="00E354E6" w:rsidRPr="00FF17C0">
      <w:rPr>
        <w:iCs/>
        <w:lang w:val="en-GB"/>
      </w:rPr>
      <w:t xml:space="preserve"> and </w:t>
    </w:r>
    <w:r w:rsidR="00E354E6">
      <w:rPr>
        <w:iCs/>
        <w:lang w:val="en-GB"/>
      </w:rPr>
      <w:t>Igbikwe C. Evaluation o</w:t>
    </w:r>
    <w:r w:rsidR="00E354E6" w:rsidRPr="00C7714D">
      <w:rPr>
        <w:iCs/>
        <w:lang w:val="en-GB"/>
      </w:rPr>
      <w:t>f Acute Phase Proteins (Alpha-Fetoprotein, E</w:t>
    </w:r>
    <w:r w:rsidR="00E354E6">
      <w:rPr>
        <w:iCs/>
        <w:lang w:val="en-GB"/>
      </w:rPr>
      <w:t>rythrocyte, Sedimentation Rate and Leucocytes Counts in Viral Hepatitis Patients i</w:t>
    </w:r>
    <w:r w:rsidR="00E354E6" w:rsidRPr="00C7714D">
      <w:rPr>
        <w:iCs/>
        <w:lang w:val="en-GB"/>
      </w:rPr>
      <w:t>n Aba</w:t>
    </w:r>
    <w:r w:rsidR="00E354E6">
      <w:rPr>
        <w:iCs/>
        <w:lang w:val="en-GB"/>
      </w:rPr>
      <w:t xml:space="preserve">. </w:t>
    </w:r>
    <w:r w:rsidR="00E354E6" w:rsidRPr="00C7714D">
      <w:rPr>
        <w:iCs/>
      </w:rPr>
      <w:t>Madonna Journal of Medicine and Health Sciences</w:t>
    </w:r>
    <w:r w:rsidR="00E354E6">
      <w:rPr>
        <w:iCs/>
      </w:rPr>
      <w:t>. 2022 2(1) 98 – 107.</w:t>
    </w:r>
  </w:p>
  <w:p w:rsidR="00DB26B7" w:rsidRDefault="00DB26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7A4" w:rsidRDefault="00FD67A4" w:rsidP="00F96C31">
      <w:r>
        <w:separator/>
      </w:r>
    </w:p>
  </w:footnote>
  <w:footnote w:type="continuationSeparator" w:id="0">
    <w:p w:rsidR="00FD67A4" w:rsidRDefault="00FD67A4" w:rsidP="00F96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72738"/>
      <w:docPartObj>
        <w:docPartGallery w:val="Page Numbers (Top of Page)"/>
        <w:docPartUnique/>
      </w:docPartObj>
    </w:sdtPr>
    <w:sdtEndPr>
      <w:rPr>
        <w:noProof/>
      </w:rPr>
    </w:sdtEndPr>
    <w:sdtContent>
      <w:p w:rsidR="00B81F5E" w:rsidRDefault="00B81F5E">
        <w:pPr>
          <w:pStyle w:val="Header"/>
          <w:jc w:val="right"/>
        </w:pPr>
        <w:r>
          <w:fldChar w:fldCharType="begin"/>
        </w:r>
        <w:r>
          <w:instrText xml:space="preserve"> PAGE   \* MERGEFORMAT </w:instrText>
        </w:r>
        <w:r>
          <w:fldChar w:fldCharType="separate"/>
        </w:r>
        <w:r w:rsidR="00806B4C">
          <w:rPr>
            <w:noProof/>
          </w:rPr>
          <w:t>98</w:t>
        </w:r>
        <w:r>
          <w:rPr>
            <w:noProof/>
          </w:rPr>
          <w:fldChar w:fldCharType="end"/>
        </w:r>
      </w:p>
    </w:sdtContent>
  </w:sdt>
  <w:p w:rsidR="006551ED" w:rsidRDefault="006551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986"/>
    <w:multiLevelType w:val="singleLevel"/>
    <w:tmpl w:val="6D189470"/>
    <w:lvl w:ilvl="0">
      <w:start w:val="6"/>
      <w:numFmt w:val="decimal"/>
      <w:lvlText w:val="%1."/>
      <w:legacy w:legacy="1" w:legacySpace="0" w:legacyIndent="0"/>
      <w:lvlJc w:val="left"/>
      <w:rPr>
        <w:rFonts w:ascii="Times New Roman" w:hAnsi="Times New Roman" w:cs="Times New Roman" w:hint="default"/>
        <w:sz w:val="28"/>
        <w:szCs w:val="28"/>
      </w:rPr>
    </w:lvl>
  </w:abstractNum>
  <w:abstractNum w:abstractNumId="1" w15:restartNumberingAfterBreak="0">
    <w:nsid w:val="1C0E0EBB"/>
    <w:multiLevelType w:val="singleLevel"/>
    <w:tmpl w:val="DD8A713C"/>
    <w:lvl w:ilvl="0">
      <w:start w:val="11"/>
      <w:numFmt w:val="decimal"/>
      <w:lvlText w:val="%1."/>
      <w:legacy w:legacy="1" w:legacySpace="0" w:legacyIndent="0"/>
      <w:lvlJc w:val="left"/>
      <w:rPr>
        <w:rFonts w:ascii="Times New Roman" w:hAnsi="Times New Roman" w:cs="Times New Roman" w:hint="default"/>
        <w:sz w:val="28"/>
        <w:szCs w:val="28"/>
      </w:rPr>
    </w:lvl>
  </w:abstractNum>
  <w:abstractNum w:abstractNumId="2" w15:restartNumberingAfterBreak="0">
    <w:nsid w:val="30FF6B50"/>
    <w:multiLevelType w:val="singleLevel"/>
    <w:tmpl w:val="FC5AA9EA"/>
    <w:lvl w:ilvl="0">
      <w:start w:val="12"/>
      <w:numFmt w:val="lowerLetter"/>
      <w:lvlText w:val="%1."/>
      <w:legacy w:legacy="1" w:legacySpace="0" w:legacyIndent="0"/>
      <w:lvlJc w:val="left"/>
      <w:rPr>
        <w:rFonts w:ascii="Times New Roman" w:hAnsi="Times New Roman" w:cs="Times New Roman" w:hint="default"/>
        <w:sz w:val="28"/>
        <w:szCs w:val="28"/>
      </w:rPr>
    </w:lvl>
  </w:abstractNum>
  <w:abstractNum w:abstractNumId="3" w15:restartNumberingAfterBreak="0">
    <w:nsid w:val="3F626307"/>
    <w:multiLevelType w:val="singleLevel"/>
    <w:tmpl w:val="3F52AFB0"/>
    <w:lvl w:ilvl="0">
      <w:start w:val="8"/>
      <w:numFmt w:val="decimal"/>
      <w:lvlText w:val="%1."/>
      <w:legacy w:legacy="1" w:legacySpace="0" w:legacyIndent="0"/>
      <w:lvlJc w:val="left"/>
      <w:rPr>
        <w:rFonts w:ascii="Times New Roman" w:hAnsi="Times New Roman" w:cs="Times New Roman" w:hint="default"/>
        <w:sz w:val="28"/>
        <w:szCs w:val="28"/>
      </w:rPr>
    </w:lvl>
  </w:abstractNum>
  <w:abstractNum w:abstractNumId="4" w15:restartNumberingAfterBreak="0">
    <w:nsid w:val="435D10E6"/>
    <w:multiLevelType w:val="singleLevel"/>
    <w:tmpl w:val="79C26DE6"/>
    <w:lvl w:ilvl="0">
      <w:start w:val="2"/>
      <w:numFmt w:val="decimal"/>
      <w:lvlText w:val="%1."/>
      <w:legacy w:legacy="1" w:legacySpace="0" w:legacyIndent="0"/>
      <w:lvlJc w:val="left"/>
      <w:rPr>
        <w:rFonts w:ascii="Times New Roman" w:hAnsi="Times New Roman" w:cs="Times New Roman" w:hint="default"/>
        <w:sz w:val="28"/>
        <w:szCs w:val="28"/>
      </w:rPr>
    </w:lvl>
  </w:abstractNum>
  <w:abstractNum w:abstractNumId="5" w15:restartNumberingAfterBreak="0">
    <w:nsid w:val="48EB251A"/>
    <w:multiLevelType w:val="singleLevel"/>
    <w:tmpl w:val="F66ACB58"/>
    <w:lvl w:ilvl="0">
      <w:start w:val="7"/>
      <w:numFmt w:val="decimal"/>
      <w:lvlText w:val="%1."/>
      <w:legacy w:legacy="1" w:legacySpace="0" w:legacyIndent="0"/>
      <w:lvlJc w:val="left"/>
      <w:rPr>
        <w:rFonts w:ascii="Times New Roman" w:hAnsi="Times New Roman" w:cs="Times New Roman" w:hint="default"/>
        <w:sz w:val="28"/>
        <w:szCs w:val="28"/>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CA"/>
    <w:rsid w:val="00002D23"/>
    <w:rsid w:val="00122421"/>
    <w:rsid w:val="00132932"/>
    <w:rsid w:val="00142EE8"/>
    <w:rsid w:val="0017066D"/>
    <w:rsid w:val="00244546"/>
    <w:rsid w:val="00250B80"/>
    <w:rsid w:val="0027200E"/>
    <w:rsid w:val="002F0640"/>
    <w:rsid w:val="003241B8"/>
    <w:rsid w:val="00372880"/>
    <w:rsid w:val="003961DC"/>
    <w:rsid w:val="003A1D05"/>
    <w:rsid w:val="004419A9"/>
    <w:rsid w:val="004B4333"/>
    <w:rsid w:val="004F492F"/>
    <w:rsid w:val="004F74C6"/>
    <w:rsid w:val="00541FAA"/>
    <w:rsid w:val="00591902"/>
    <w:rsid w:val="005F05CA"/>
    <w:rsid w:val="006319B9"/>
    <w:rsid w:val="00635014"/>
    <w:rsid w:val="006551ED"/>
    <w:rsid w:val="006B3CC2"/>
    <w:rsid w:val="00716C1B"/>
    <w:rsid w:val="00724531"/>
    <w:rsid w:val="00786E82"/>
    <w:rsid w:val="007F448C"/>
    <w:rsid w:val="00806B4C"/>
    <w:rsid w:val="00807B3C"/>
    <w:rsid w:val="00897525"/>
    <w:rsid w:val="00904FBD"/>
    <w:rsid w:val="00946F62"/>
    <w:rsid w:val="00953C6A"/>
    <w:rsid w:val="009C2069"/>
    <w:rsid w:val="00A10474"/>
    <w:rsid w:val="00A14C79"/>
    <w:rsid w:val="00B714F6"/>
    <w:rsid w:val="00B81F5E"/>
    <w:rsid w:val="00BC3CF1"/>
    <w:rsid w:val="00BD0D86"/>
    <w:rsid w:val="00CA6B65"/>
    <w:rsid w:val="00DB0662"/>
    <w:rsid w:val="00DB26B7"/>
    <w:rsid w:val="00DD6DB6"/>
    <w:rsid w:val="00E354E6"/>
    <w:rsid w:val="00E432C3"/>
    <w:rsid w:val="00E7279D"/>
    <w:rsid w:val="00EA11AD"/>
    <w:rsid w:val="00EA40EF"/>
    <w:rsid w:val="00EB3033"/>
    <w:rsid w:val="00ED04F9"/>
    <w:rsid w:val="00EF33BF"/>
    <w:rsid w:val="00F035CF"/>
    <w:rsid w:val="00F16C57"/>
    <w:rsid w:val="00F96C31"/>
    <w:rsid w:val="00FB3718"/>
    <w:rsid w:val="00FD51CD"/>
    <w:rsid w:val="00FD67A4"/>
    <w:rsid w:val="00FF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89910"/>
  <w15:docId w15:val="{4DBCEB28-A3B2-42D6-B98B-0601E2D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F05CA"/>
    <w:pPr>
      <w:widowControl w:val="0"/>
      <w:autoSpaceDE w:val="0"/>
      <w:autoSpaceDN w:val="0"/>
      <w:adjustRightInd w:val="0"/>
    </w:pPr>
    <w:rPr>
      <w:rFonts w:ascii="Times New Roman" w:hAnsi="Times New Roman" w:cs="Times New Roman"/>
      <w:sz w:val="24"/>
      <w:szCs w:val="24"/>
    </w:rPr>
  </w:style>
  <w:style w:type="paragraph" w:styleId="Footer">
    <w:name w:val="footer"/>
    <w:basedOn w:val="Normal"/>
    <w:link w:val="FooterChar"/>
    <w:uiPriority w:val="99"/>
    <w:unhideWhenUsed/>
    <w:rsid w:val="00DB26B7"/>
    <w:pPr>
      <w:tabs>
        <w:tab w:val="center" w:pos="4680"/>
        <w:tab w:val="right" w:pos="9360"/>
      </w:tabs>
    </w:pPr>
  </w:style>
  <w:style w:type="character" w:customStyle="1" w:styleId="FooterChar">
    <w:name w:val="Footer Char"/>
    <w:basedOn w:val="DefaultParagraphFont"/>
    <w:link w:val="Footer"/>
    <w:uiPriority w:val="99"/>
    <w:rsid w:val="00DB26B7"/>
  </w:style>
  <w:style w:type="table" w:styleId="TableGrid">
    <w:name w:val="Table Grid"/>
    <w:basedOn w:val="TableNormal"/>
    <w:uiPriority w:val="59"/>
    <w:rsid w:val="00DB26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11AD"/>
    <w:rPr>
      <w:rFonts w:ascii="Tahoma" w:hAnsi="Tahoma" w:cs="Tahoma"/>
      <w:sz w:val="16"/>
      <w:szCs w:val="16"/>
    </w:rPr>
  </w:style>
  <w:style w:type="character" w:customStyle="1" w:styleId="BalloonTextChar">
    <w:name w:val="Balloon Text Char"/>
    <w:basedOn w:val="DefaultParagraphFont"/>
    <w:link w:val="BalloonText"/>
    <w:uiPriority w:val="99"/>
    <w:semiHidden/>
    <w:rsid w:val="00EA11AD"/>
    <w:rPr>
      <w:rFonts w:ascii="Tahoma" w:hAnsi="Tahoma" w:cs="Tahoma"/>
      <w:sz w:val="16"/>
      <w:szCs w:val="16"/>
    </w:rPr>
  </w:style>
  <w:style w:type="character" w:customStyle="1" w:styleId="markedcontent">
    <w:name w:val="markedcontent"/>
    <w:basedOn w:val="DefaultParagraphFont"/>
    <w:rsid w:val="003241B8"/>
  </w:style>
  <w:style w:type="character" w:styleId="Hyperlink">
    <w:name w:val="Hyperlink"/>
    <w:basedOn w:val="DefaultParagraphFont"/>
    <w:uiPriority w:val="99"/>
    <w:rsid w:val="006551ED"/>
    <w:rPr>
      <w:color w:val="0000FF"/>
      <w:u w:val="single"/>
    </w:rPr>
  </w:style>
  <w:style w:type="paragraph" w:styleId="Header">
    <w:name w:val="header"/>
    <w:basedOn w:val="Normal"/>
    <w:link w:val="HeaderChar"/>
    <w:uiPriority w:val="99"/>
    <w:unhideWhenUsed/>
    <w:rsid w:val="006551ED"/>
    <w:pPr>
      <w:tabs>
        <w:tab w:val="center" w:pos="4680"/>
        <w:tab w:val="right" w:pos="9360"/>
      </w:tabs>
    </w:pPr>
  </w:style>
  <w:style w:type="character" w:customStyle="1" w:styleId="HeaderChar">
    <w:name w:val="Header Char"/>
    <w:basedOn w:val="DefaultParagraphFont"/>
    <w:link w:val="Header"/>
    <w:uiPriority w:val="99"/>
    <w:rsid w:val="006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onnauniversity.edu.ng/journals/index.php/medic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F4DA-6745-412A-949B-4A703ECD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Readiris Build 5965</dc:creator>
  <cp:keywords>CreatedByIRIS_Readiris_12.02</cp:keywords>
  <cp:lastModifiedBy>user</cp:lastModifiedBy>
  <cp:revision>2</cp:revision>
  <dcterms:created xsi:type="dcterms:W3CDTF">2022-02-24T11:47:00Z</dcterms:created>
  <dcterms:modified xsi:type="dcterms:W3CDTF">2022-02-24T11:47:00Z</dcterms:modified>
</cp:coreProperties>
</file>